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79" w:rsidRDefault="00E62D79">
      <w:pPr>
        <w:jc w:val="center"/>
        <w:rPr>
          <w:rFonts w:eastAsia="Times New Roman"/>
          <w:sz w:val="28"/>
          <w:szCs w:val="28"/>
          <w:highlight w:val="white"/>
          <w:shd w:val="clear" w:color="auto" w:fill="FEFEFE"/>
        </w:rPr>
      </w:pPr>
      <w:r>
        <w:rPr>
          <w:rFonts w:eastAsia="Times New Roman"/>
          <w:b/>
          <w:bCs/>
          <w:sz w:val="28"/>
          <w:szCs w:val="28"/>
          <w:highlight w:val="white"/>
          <w:shd w:val="clear" w:color="auto" w:fill="FEFEFE"/>
        </w:rPr>
        <w:t>НАРЕДБА № 12 ОТ 15 ЮЛИ 2010 Г. ЗА НОРМИ ЗА СЕРЕН ДИОКСИД, АЗОТЕН ДИОКСИД, ФИНИ ПРАХОВИ ЧАСТИЦИ, ОЛОВО, БЕНЗЕН, ВЪГЛЕРОДЕН ОКСИД И ОЗОН В АТМОСФЕРНИЯ ВЪЗДУХ</w:t>
      </w:r>
    </w:p>
    <w:p w:rsidR="00E62D79" w:rsidRDefault="00E62D79">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В сила от 30.07.2010 г.</w:t>
      </w:r>
    </w:p>
    <w:p w:rsidR="00E62D79" w:rsidRDefault="00E62D79">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Издадена от министъра на здравеопазването и министъра на околната среда и водите</w:t>
      </w:r>
    </w:p>
    <w:p w:rsidR="00E62D79" w:rsidRDefault="00E62D79">
      <w:pPr>
        <w:spacing w:before="283"/>
        <w:ind w:firstLine="850"/>
        <w:jc w:val="both"/>
        <w:rPr>
          <w:rFonts w:eastAsia="Times New Roman"/>
          <w:sz w:val="28"/>
          <w:szCs w:val="28"/>
          <w:highlight w:val="white"/>
          <w:shd w:val="clear" w:color="auto" w:fill="FEFEFE"/>
        </w:rPr>
      </w:pPr>
      <w:proofErr w:type="spellStart"/>
      <w:r>
        <w:rPr>
          <w:rFonts w:eastAsia="Times New Roman"/>
          <w:i/>
          <w:iCs/>
          <w:sz w:val="28"/>
          <w:szCs w:val="28"/>
          <w:highlight w:val="white"/>
          <w:shd w:val="clear" w:color="auto" w:fill="FEFEFE"/>
        </w:rPr>
        <w:t>Обн</w:t>
      </w:r>
      <w:proofErr w:type="spellEnd"/>
      <w:r>
        <w:rPr>
          <w:rFonts w:eastAsia="Times New Roman"/>
          <w:i/>
          <w:iCs/>
          <w:sz w:val="28"/>
          <w:szCs w:val="28"/>
          <w:highlight w:val="white"/>
          <w:shd w:val="clear" w:color="auto" w:fill="FEFEFE"/>
        </w:rPr>
        <w:t xml:space="preserve">. ДВ. бр.58 от 30 Юли 2010г., изм. и доп. ДВ. бр.48 от 16 Юни 2017г., </w:t>
      </w:r>
      <w:r>
        <w:rPr>
          <w:rFonts w:eastAsia="Times New Roman"/>
          <w:b/>
          <w:bCs/>
          <w:i/>
          <w:iCs/>
          <w:sz w:val="28"/>
          <w:szCs w:val="28"/>
          <w:highlight w:val="white"/>
          <w:shd w:val="clear" w:color="auto" w:fill="FEFEFE"/>
        </w:rPr>
        <w:t>изм. и доп. ДВ. бр.79 от 8 Октомври 2019г.</w:t>
      </w:r>
    </w:p>
    <w:p w:rsidR="00E62D79" w:rsidRDefault="00E62D79">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първа.</w:t>
      </w:r>
      <w:r>
        <w:rPr>
          <w:rFonts w:eastAsia="Times New Roman"/>
          <w:b/>
          <w:bCs/>
          <w:sz w:val="24"/>
          <w:szCs w:val="24"/>
          <w:highlight w:val="white"/>
          <w:shd w:val="clear" w:color="auto" w:fill="FEFEFE"/>
        </w:rPr>
        <w:br/>
        <w:t>ОБЩИ ПОЛОЖЕНИЯ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(1) Тази наредба урежда: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установяването на норми за нивата (концентрациите) на серен диоксид, азотен диоксид, фини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въглероден оксид и озон в атмосферния въздух;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установяването на алармени прагове за серен диоксид, азотен диоксид и озон, както и информационен праг за озон;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установяването на единни методи и критерии за оценка на нивата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въглероден оксид и озон в атмосферния въздух, включително регистрирането, обработката и съхранението на резултатите и данните от извършената оценка съгласно Наредба № 7 от 1999 г. за оценка и управление на качеството на атмосферния въздух (ДВ, бр. 45 от 1999 г.);</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подобряването на качеството на атмосферния въздух (КАВ) в районите, в които е налице превишаване на установените норми по т. 1, и поддържането му в останалите райони, включително намаляването нивата на озон в атмосферния въздух чрез договарянето и прилагането на трансгранични мерки за целта;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предоставянето на населението на съответна информация за нивата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въглероден оксид и озон в атмосферния въздух, вкл. осигуряването на обществен достъп до нея, съгласно чл. 23 от Закона за чистотата на атмосферния въздух (ЗЧАВ).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Нормите и праговете по ал. 1, т. 1 и 2 се установяват с оглед избягване, предотвратяване или ограничаване на свързаните с тези замърсители вредни въздействия върху човешкото здраве и/или околната среда в нейната цялост.</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 Нормите и праговете за газообразните замърсители по чл. 1, ал. 1, т. 1 и 2 се определят като маса, съдържаща се в един кубически метър въздух при нормални условия (температура 293 °К и налягане 101,3 </w:t>
      </w:r>
      <w:proofErr w:type="spellStart"/>
      <w:r>
        <w:rPr>
          <w:rFonts w:eastAsia="Times New Roman"/>
          <w:sz w:val="24"/>
          <w:szCs w:val="24"/>
          <w:highlight w:val="white"/>
          <w:shd w:val="clear" w:color="auto" w:fill="FEFEFE"/>
        </w:rPr>
        <w:t>кРа</w:t>
      </w:r>
      <w:proofErr w:type="spellEnd"/>
      <w:r>
        <w:rPr>
          <w:rFonts w:eastAsia="Times New Roman"/>
          <w:sz w:val="24"/>
          <w:szCs w:val="24"/>
          <w:highlight w:val="white"/>
          <w:shd w:val="clear" w:color="auto" w:fill="FEFEFE"/>
        </w:rPr>
        <w:t>), съгласно чл. 4, ал. 3 ЗЧАВ.</w:t>
      </w:r>
    </w:p>
    <w:p w:rsidR="00E62D79" w:rsidRDefault="00E62D79">
      <w:pPr>
        <w:rPr>
          <w:rFonts w:eastAsia="Times New Roman"/>
          <w:sz w:val="24"/>
          <w:szCs w:val="24"/>
          <w:highlight w:val="white"/>
          <w:shd w:val="clear" w:color="auto" w:fill="FEFEFE"/>
        </w:rPr>
      </w:pPr>
    </w:p>
    <w:p w:rsidR="00E62D79" w:rsidRDefault="00E62D79">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втора.</w:t>
      </w:r>
      <w:r>
        <w:rPr>
          <w:rFonts w:eastAsia="Times New Roman"/>
          <w:b/>
          <w:bCs/>
          <w:sz w:val="24"/>
          <w:szCs w:val="24"/>
          <w:highlight w:val="white"/>
          <w:shd w:val="clear" w:color="auto" w:fill="FEFEFE"/>
        </w:rPr>
        <w:br/>
        <w:t>НОРМИ ЗА НИВАТА НА СЕРЕН ДИОКСИД, АЗОТЕН ДИОКСИД, ФПЧ, ОЛОВО, БЕНЗЕН И ВЪГЛЕРОДЕН ОКСИД В АТМОСФЕРНИЯ ВЪЗДУХ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(1) Нормите за серен диоксид, азотен диоксид, азотни оксиди, ФПЧ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и </w:t>
      </w:r>
      <w:r>
        <w:rPr>
          <w:rFonts w:eastAsia="Times New Roman"/>
          <w:sz w:val="24"/>
          <w:szCs w:val="24"/>
          <w:highlight w:val="white"/>
          <w:shd w:val="clear" w:color="auto" w:fill="FEFEFE"/>
        </w:rPr>
        <w:lastRenderedPageBreak/>
        <w:t>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се определят съгласно приложение № 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Допустимите отклонения от нормите по ал. 1 се определят съгласно колона 4 на таблица 2 от раздел ІІ на приложение № 1 и в съответствие с чл. 36, ал. 2.</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4. (1) Алармените прагове за серен диоксид и азотен диоксид и </w:t>
      </w:r>
      <w:proofErr w:type="spellStart"/>
      <w:r>
        <w:rPr>
          <w:rFonts w:eastAsia="Times New Roman"/>
          <w:sz w:val="24"/>
          <w:szCs w:val="24"/>
          <w:highlight w:val="white"/>
          <w:shd w:val="clear" w:color="auto" w:fill="FEFEFE"/>
        </w:rPr>
        <w:t>превишенията</w:t>
      </w:r>
      <w:proofErr w:type="spellEnd"/>
      <w:r>
        <w:rPr>
          <w:rFonts w:eastAsia="Times New Roman"/>
          <w:sz w:val="24"/>
          <w:szCs w:val="24"/>
          <w:highlight w:val="white"/>
          <w:shd w:val="clear" w:color="auto" w:fill="FEFEFE"/>
        </w:rPr>
        <w:t xml:space="preserve"> им са определени в приложение № 2.</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превишаване на алармените прагове по ал. 1 в даден район компетентните органи съгласно чл. 19 ЗЧАВ предприемат необходимите мерки за своевременно предоставяне на засегнатото население на съответната информация съгласно раздел ІV на приложение № 16.</w:t>
      </w:r>
    </w:p>
    <w:p w:rsidR="00E62D79" w:rsidRDefault="00E62D79">
      <w:pPr>
        <w:rPr>
          <w:rFonts w:eastAsia="Times New Roman"/>
          <w:sz w:val="24"/>
          <w:szCs w:val="24"/>
          <w:highlight w:val="white"/>
          <w:shd w:val="clear" w:color="auto" w:fill="FEFEFE"/>
        </w:rPr>
      </w:pPr>
    </w:p>
    <w:p w:rsidR="00E62D79" w:rsidRDefault="00E62D79">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трета.</w:t>
      </w:r>
      <w:r>
        <w:rPr>
          <w:rFonts w:eastAsia="Times New Roman"/>
          <w:b/>
          <w:bCs/>
          <w:sz w:val="24"/>
          <w:szCs w:val="24"/>
          <w:highlight w:val="white"/>
          <w:shd w:val="clear" w:color="auto" w:fill="FEFEFE"/>
        </w:rPr>
        <w:br/>
        <w:t>НОРМИ ЗА НИВАТА НА ОЗОН В АТМОСФЕРНИЯ ВЪЗДУХ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Нормите за съдържание на озон в атмосферния въздух, които следва да бъдат достигнати и поддържани в краткосрочен план, наричани по-нататък краткосрочни целеви норми (КЦН), се определят съгласно раздел ІІ на приложение № 3.</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Нормите за съдържание на озон в атмосферния въздух, които следва да бъдат достигнати и поддържани в дългосрочен план, наричани по-нататък дългосрочни целеви норми (ДЦН), се определят съгласно раздел ІІІ на приложение № 3.</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Нормите по чл. 5 и 6 се прилагат в съответствие с изискванията на раздел І на приложение № 3.</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(1) Информационният и аларменият праг за нивата на озон в атмосферния въздух се определят съгласно приложение № 4.</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установено или прогнозирано превишаване на даден праг по ал. 1 в даден район компетентните органи съгласно чл. 19 ЗЧАВ предприемат необходимите мерки за своевременно предоставяне на засегнатото население на съответната информация съгласно раздел ІV на приложение № 16.</w:t>
      </w:r>
    </w:p>
    <w:p w:rsidR="00E62D79" w:rsidRDefault="00E62D79">
      <w:pPr>
        <w:rPr>
          <w:rFonts w:eastAsia="Times New Roman"/>
          <w:sz w:val="24"/>
          <w:szCs w:val="24"/>
          <w:highlight w:val="white"/>
          <w:shd w:val="clear" w:color="auto" w:fill="FEFEFE"/>
        </w:rPr>
      </w:pPr>
    </w:p>
    <w:p w:rsidR="00E62D79" w:rsidRDefault="00E62D79">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четвърта.</w:t>
      </w:r>
      <w:r>
        <w:rPr>
          <w:rFonts w:eastAsia="Times New Roman"/>
          <w:b/>
          <w:bCs/>
          <w:sz w:val="24"/>
          <w:szCs w:val="24"/>
          <w:highlight w:val="white"/>
          <w:shd w:val="clear" w:color="auto" w:fill="FEFEFE"/>
        </w:rPr>
        <w:br/>
        <w:t>ОЦЕНКА НА НИВАТА НА СЕРЕН ДИОКСИД, АЗОТЕН ДИОКСИД, ФПЧ, ОЛОВО, БЕНЗЕН И ВЪГЛЕРОДЕН ОКСИД В АТМОСФЕРНИЯ ВЪЗДУХ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9. (1) Горните и долните оценъчни прагове за нивата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са определени в раздел І на приложение № 5.</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Районите (в т.ч. агломерациите) за оценка и управление (РОУ) на КАВ се разпределят (класифицират) в съответствие с установените в резултат на оценката превишения на оценъчните прагове.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Границите на районите по ал. 2 се определят и утвърждават от министъра на околната среда и водите.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(4) Разпределението на РОУ се преразглежда не по-малко от един път на всеки пет години в съответствие с изискванията на раздел ІІ на приложение № 5.</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(Доп. - ДВ, бр. 79 от 2019 г., в сила от 08.10.2019 г.) Разпределението на РОУ се преразглежда и преди изтичане на срока по ал. 4 в случаите на настъпили значителни изменения на дейностите, водещи до промяна на нивата на серен диоксид, азотен диоксид или, когато е приложимо, азотни оксиди,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10. (1) Оценката на КАВ чрез постоянни измервания за определяне нивата на съответните замърсители е задължителна в следните райони: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агломерации съгласно определението по § 1, т. 13 на допълнителните разпоредби;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райони, в които нивата на замърсителите превишават горните оценъчни прагове.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В районите, в които нивата на замърсителите не превишават съответните горни оценъчни прагове, оценката на КАВ се извършва чрез комбинация от постоянни измервания и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и/или индикативни измервания.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В районите, в които нивата на замърсителите не превишават съответните долни оценъчни прагове, оценката на КАВ е достатъчно да се извършва само чрез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и/или инвентаризация на емисиите и други представителни методи за определяне нивата на замърсителите в тях.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Оценката на КАВ в районите по ал. 1 може да бъде допълвана чрез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и/или индикативни измервания за определяне нивата на замърсителите в тях.</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11. Точките за вземане на проби при измерванията за определяне на нивата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се разполагат при спазване на условията, посочени в приложение № 6.</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12. (1) Минималният брой пунктове за мониторинг (ПМ) на нивата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чрез постоянни измервания в рамките на даден РОУ на КАВ се определя съгласно приложение № 7.</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В случаите, когато извършваните постоянни измервания са единствен източник на данни за нивата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в даден РОУ, необходимият брой точки за вземане на проби за всеки от замърсителите е не по-малък от минималния брой, определен съгласно приложение № 7.</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13. В РОУ по чл. 12, ал. 1, в които резултатите и данните от измерванията се допълват с такива, получени чрез други методи за оценка (инвентаризация на емисиите,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и/или индикативни измервания), минималният брой постоянни ПМ в даден РОУ, определен съгласно приложение № 7, може да бъде намален с 50 % при спазване на следните условия: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наличната допълнителна информация осигурява идентично ниво на оценка на КАВ по отношение на установените норми и алармени прагове, както и адекватна информация за обществеността;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броят и обхватът на ПМ, извършващи непрекъснати измервания за оценка на КАВ, както и пространствената разрешителна способност на другите методи за оценка, са достатъчни за определяне на концентрацията на съответния замърсител в съответствие с изискванията за качество на данните, определени в раздел І от приложение № 8, а резултатите от оценката </w:t>
      </w:r>
      <w:r>
        <w:rPr>
          <w:rFonts w:eastAsia="Times New Roman"/>
          <w:sz w:val="24"/>
          <w:szCs w:val="24"/>
          <w:highlight w:val="white"/>
          <w:shd w:val="clear" w:color="auto" w:fill="FEFEFE"/>
        </w:rPr>
        <w:lastRenderedPageBreak/>
        <w:t>отговарят на изискванията на раздел ІІ от приложение № 8.</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 В случаите по чл. 13 резултатите, получени чрез други методи за оценка (инвентаризация на емисиите,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и/или индикативни измервания), се използват за допълване на резултатите от непрекъснатите измервания при оценка на съответствието с установените норми.</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15. (1) Изпълнителната агенция по околна среда (ИАОС) изгражда и поддържа в рамките на Националната система за мониторинг на околната среда (НСМОС) не по-малко от един извънградски фонов ПМ на територията на страната, отдалечен от значими източници на замърсяване на въздуха, в който се определя общата масова концентрация и концентрациите на отделните химични компоненти в състава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на средногодишна основа.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 цел постигане на по-добро пространствено покритие ИАОС може, при сключена договореност със съседна държава - членка на Европейския съюз, да поддържа един или няколко съвместни ПМ в пограничните райони.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Когато е целесъобразно, мониторингът се координира със стратегията за мониторинг и програмата за измервания на Съвместната програма за наблюдение и оценка на разпространението на замърсителите на въздуха на далечни разстояния в Европа - ЕМЕP.</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Използваните методи за определяне на отделните химични компоненти в състава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се определят от изпълнителния директор на ИАОС и се утвърждават от министъра на околната среда и водите.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48 от 2017 г., в сила от 16.06.2017 г.) При оценка на общата масова концентрация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по ал. 1 се спазват изискванията за качество на данните, определени в раздели I и III на приложение № 8, а приложение № 9 се прилага в неговата цялост.</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16. (1) ИАОС изгражда в рамките на НСМОС и поддържа необходимия брой постоянни градски фонови ПМ за оценка на показателя за средна експозиция на населението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определен съгласно раздел І на приложение № 10.</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Броят и разположението на ПМ по ал. 1, позволяващи достоверна оценка на експозицията на населението, се определят в съответствие с изискванията на раздел ІІ на приложение № 7.</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79 от 2019 г., в сила от 08.10.2019 г.) Въз основа на оценката по ал. 1 се определя целта за ограничаване на експозицията към 2020 г. съгласно раздел ІІ на приложение № 10, за чието постигане се предприемат всички необходими мерки, от които не произтичат прекомерни разходи.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Независимо от определената цел по ал. 3 нивата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в ПМ по ал. 2 следва да не превишават установената съгласно раздел ІІІ на приложение № 10 стойност за 2015 г.</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17. (1) (Доп. - ДВ, бр. 48 от 2017 г., в сила от 16.06.2017 г.) Референтните методи, които са задължителни за вземането на проби и анализите за определяне на нивата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са посочени в раздел І на приложение № 11, а изискванията за стандартизиране на резултатите от измерванията са посочени в раздел III на приложение № 11.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(Изм. - ДВ, бр. 48 от 2017 г., в сила от 16.06.2017 г.) Използването на метод, различен от тези по ал. 1, е възможно единствено след доказване на идентичността на този метод със </w:t>
      </w:r>
      <w:r>
        <w:rPr>
          <w:rFonts w:eastAsia="Times New Roman"/>
          <w:sz w:val="24"/>
          <w:szCs w:val="24"/>
          <w:highlight w:val="white"/>
          <w:shd w:val="clear" w:color="auto" w:fill="FEFEFE"/>
        </w:rPr>
        <w:lastRenderedPageBreak/>
        <w:t>съответния референтен метод за вземане на проби и/или анализ на нивата на даден замърсител в атмосферния въздух по ал. 1 при спазване на изискванията, посочени в раздел II на приложение № 11 и на Ръководството за демонстриране на еквивалентност на методите за мониторинг на атмосферния въздух на Европейската комисия.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Освен чрез вземане на проби и анализи нивата на серен диоксид, азотен диоксид, фини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могат да се определят и посредством методи за оценка чрез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посочени в раздел V на приложение № 11.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Методите по ал. 3 се определят с методики, които се утвърждават от министъра на околната среда и водите, при необходимост - съвместно с други компетентни ведомства.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Вземането на проби и анализите по ал. 1 се извършват съгласно инструкциите по чл. 22, ал. 1 от Наредба № 7 от 1999 г. за оценка и управление качеството на атмосферния въздух.</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17а. (Нов - ДВ, бр. 48 от 2017 г., в сила от 16.06.2017 г.) Министърът на околната среда и водите определя със заповед националните референтни лаборатории към ИАОС, отговорни за осигуряване на качеството на измерванията за замърсителите в обхвата на наредбата, съгласно изискванията на раздел III на приложение № 8.</w:t>
      </w:r>
    </w:p>
    <w:p w:rsidR="00E62D79" w:rsidRDefault="00E62D79">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пета.</w:t>
      </w:r>
      <w:r>
        <w:rPr>
          <w:rFonts w:eastAsia="Times New Roman"/>
          <w:b/>
          <w:bCs/>
          <w:sz w:val="24"/>
          <w:szCs w:val="24"/>
          <w:highlight w:val="white"/>
          <w:shd w:val="clear" w:color="auto" w:fill="FEFEFE"/>
        </w:rPr>
        <w:br/>
        <w:t>ОЦЕНКА НА НИВАТА НА ОЗОН В АТМОСФЕРНИЯ ВЪЗДУХ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18. (1) Горните и долните оценъчни прагове за нивата на озон в атмосферния въздух са определени в раздели ІІ и ІІІ на приложение № 3.</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РОУ на КАВ се разпределят (класифицират) в съответствие с установените в резултат на оценката превишения на оценъчните прагове.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Границите на районите по ал. 2 се определят и утвърждават от министъра на околната среда и водите.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Разпределението на РОУ се преразглежда не по-малко от един път на всеки пет години.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Разпределението на РОУ се преразглежда и преди изтичане на срока по ал. 4 в случаите на настъпили значителни изменения на дейностите във връзка с нивата на озон или неговите </w:t>
      </w:r>
      <w:proofErr w:type="spellStart"/>
      <w:r>
        <w:rPr>
          <w:rFonts w:eastAsia="Times New Roman"/>
          <w:sz w:val="24"/>
          <w:szCs w:val="24"/>
          <w:highlight w:val="white"/>
          <w:shd w:val="clear" w:color="auto" w:fill="FEFEFE"/>
        </w:rPr>
        <w:t>прекурсори</w:t>
      </w:r>
      <w:proofErr w:type="spellEnd"/>
      <w:r>
        <w:rPr>
          <w:rFonts w:eastAsia="Times New Roman"/>
          <w:sz w:val="24"/>
          <w:szCs w:val="24"/>
          <w:highlight w:val="white"/>
          <w:shd w:val="clear" w:color="auto" w:fill="FEFEFE"/>
        </w:rPr>
        <w:t xml:space="preserve"> в атмосферния въздух.</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19. (1) В РОУ, в които резултатите от измерванията през някоя от предходните пет календарни години показват, че в тях е налице превишаване на дългосрочните целеви норми (ДЦН), определени в раздел ІІІ на приложение № 3, се извършват постоянни измервания на нивата на озон.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(Доп. - ДВ, бр. 79 от 2019 г., в сила от 08.10.2019 г.) В случаите, когато не са налице необходимите достоверни и представителни данни за предходните 5 календарни години, видът на измерванията по ал. 1 се определя въз основа на данни от представителни програми за измерване нивата на озон, където и когато е вероятно нивата да бъдат най-високи, допълнени с резултати от инвентаризация на емисиите на неговите </w:t>
      </w:r>
      <w:proofErr w:type="spellStart"/>
      <w:r>
        <w:rPr>
          <w:rFonts w:eastAsia="Times New Roman"/>
          <w:sz w:val="24"/>
          <w:szCs w:val="24"/>
          <w:highlight w:val="white"/>
          <w:shd w:val="clear" w:color="auto" w:fill="FEFEFE"/>
        </w:rPr>
        <w:t>прекурсори</w:t>
      </w:r>
      <w:proofErr w:type="spellEnd"/>
      <w:r>
        <w:rPr>
          <w:rFonts w:eastAsia="Times New Roman"/>
          <w:sz w:val="24"/>
          <w:szCs w:val="24"/>
          <w:highlight w:val="white"/>
          <w:shd w:val="clear" w:color="auto" w:fill="FEFEFE"/>
        </w:rPr>
        <w:t xml:space="preserve"> и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на КАВ по отношение образуването на озон в приземния атмосферен слой.</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20. Точките за вземане на проби при измерванията за определяне на нивата озон в атмосферния въздух се разполагат при спазване на условията, посочени в приложение № 12.</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21. (1) Минималният брой ПМ на нивата на озон в атмосферния въздух чрез постоянни измервания в рамките на даден РОУ на КАВ се определя съгласно раздел І на приложение № 13.</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случаите, когато извършваните постоянни измервания са единствен източник на данни за нивата на озон в даден РОУ, необходимият брой точки за вземане на проби се определя поотделно за всеки район, в който оценката на КАВ чрез измервания е задължителна. Броят на ПМ не може да бъде по-малък от минималния брой, определен съгласно раздел І на приложение № 13.</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22. В РОУ по чл. 21, ал. 1, в които резултатите и данните от измерванията се допълват с такива, получени чрез други методи за оценка (инвентаризация на емисиите,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и/или индикативни измервания), минималният брой постоянни ПМ в даден РОУ може да бъде намален при спазване на следните условия: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наличната допълнителна информация осигурява идентично ниво на оценка на КАВ по отношение на установените норми (КЦН и ДЦН), алармен и информационен праг - праг за предупреждаване на населението и праг за информиране на населението;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броят и обхватът на ПМ, извършващи непрекъснати измервания за оценка на КАВ, както и пространствената разрешителна способност на другите методи за оценка, са достатъчни за определяне на концентрацията на озон в съответствие с изискванията за качество на данните, определени в раздел І на приложение № 8, а резултатите от оценката отговарят на изискванията на раздел ІІ на приложение № 8;</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във всеки РОУ е налице не по-малко от един ПМ на всеки два милиона жители или на всеки 50 000 km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от територията му в зависимост от това в кой от случаите броят на ПМ е по-голям;</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във всеки РОУ броят на ПМ е не по-малко от един;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във всички ПМ, с изключение на извънградските фонови ПМ съгласно условията по раздел І от приложение № 12, се извършва измерване на нивата на азотен диоксид.</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23. В случаите по чл. 22 резултатите, получени чрез други методи за оценка (инвентаризация на емисиите,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и/или индикативни измервания), се използват за допълване на резултатите от непрекъснатите измервания при оценка на съответствието с установените норми (КЦН и ДЦН).</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24. (1) Измерванията на нивата на азотен диоксид в атмосферния въздух се извършват в не по-малко от 50 % от ПМ по чл. 21, ал. 2 съгласно изискванията на раздел І от приложение № 13.</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Измерванията по ал. 1 са непрекъснати освен в извънградските фонови ПМ съгласно условията в раздел І от приложение № 12, в които се използват и други методи на измерване.</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 В РОУ, в които резултатите от измерванията през всяка от предходните пет календарни години показват, че в тях не е налице превишаване на ДЦН, минималният брой ПМ се определя съгласно раздел ІІ от приложение № 13.</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26. (1) ИАОС изгражда в рамките на НСМОС и поддържа не по-малко от един ПМ на територията на страната, в който се определят нивата на </w:t>
      </w:r>
      <w:proofErr w:type="spellStart"/>
      <w:r>
        <w:rPr>
          <w:rFonts w:eastAsia="Times New Roman"/>
          <w:sz w:val="24"/>
          <w:szCs w:val="24"/>
          <w:highlight w:val="white"/>
          <w:shd w:val="clear" w:color="auto" w:fill="FEFEFE"/>
        </w:rPr>
        <w:t>прекурсорите</w:t>
      </w:r>
      <w:proofErr w:type="spellEnd"/>
      <w:r>
        <w:rPr>
          <w:rFonts w:eastAsia="Times New Roman"/>
          <w:sz w:val="24"/>
          <w:szCs w:val="24"/>
          <w:highlight w:val="white"/>
          <w:shd w:val="clear" w:color="auto" w:fill="FEFEFE"/>
        </w:rPr>
        <w:t xml:space="preserve"> на озон, посочени в </w:t>
      </w:r>
      <w:r>
        <w:rPr>
          <w:rFonts w:eastAsia="Times New Roman"/>
          <w:sz w:val="24"/>
          <w:szCs w:val="24"/>
          <w:highlight w:val="white"/>
          <w:shd w:val="clear" w:color="auto" w:fill="FEFEFE"/>
        </w:rPr>
        <w:lastRenderedPageBreak/>
        <w:t>приложение № 14.</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Общият брой и местоположението на ПМ по ал. 1 се определят в съответствие с изискванията на приложение № 14.</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27. (1) За определяне на нивата на озон в атмосферния въздух се използва референтният метод, посочен в раздел І, т. 8 на приложение № 11.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48 от 2017 г., в сила от 16.06.2017 г.) Използването на метод, различен от този по ал. 1, е възможно единствено след доказване на идентичността на този метод със съответния референтен метод за вземане на проби и/или анализ на нивата на озон в атмосферния въздух по ал. 1 при спазване на изискванията, посочени в раздел II на приложение № 11 и на Ръководството за демонстриране на еквивалентност на методите за мониторинг на атмосферния въздух на Европейската комисия.</w:t>
      </w:r>
    </w:p>
    <w:p w:rsidR="00E62D79" w:rsidRDefault="00E62D79">
      <w:pPr>
        <w:rPr>
          <w:rFonts w:eastAsia="Times New Roman"/>
          <w:sz w:val="24"/>
          <w:szCs w:val="24"/>
          <w:highlight w:val="white"/>
          <w:shd w:val="clear" w:color="auto" w:fill="FEFEFE"/>
        </w:rPr>
      </w:pPr>
    </w:p>
    <w:p w:rsidR="00E62D79" w:rsidRDefault="00E62D79">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шеста.</w:t>
      </w:r>
      <w:r>
        <w:rPr>
          <w:rFonts w:eastAsia="Times New Roman"/>
          <w:b/>
          <w:bCs/>
          <w:sz w:val="24"/>
          <w:szCs w:val="24"/>
          <w:highlight w:val="white"/>
          <w:shd w:val="clear" w:color="auto" w:fill="FEFEFE"/>
        </w:rPr>
        <w:br/>
        <w:t>УПРАВЛЕНИЕ НА КАЧЕСТВОТО НА АТМОСФЕРНИЯ ВЪЗДУХ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28. Сроковете за достигане и поддържане върху територията на цялата страна на нормите за съдържание на серен диоксид, азотен диоксид, азотни оксиди,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по чл. 3, ал. 1 са съгласно колона 5 на таблица 2 от раздел ІІ на приложение № 1.</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29. (1) В РОУ, в които нивата на серен диоксид, азотен диоксид, азотни оксиди,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са по-ниски от нормите за нивата на тези замърсители, определени съгласно приложение № 1, общинските органи, съгласувано със съответните регионални инспекции по околната среда и водите (РИОСВ), предприемат необходимите мерки за поддържане на нивата на замърсителите под установените за тях норми и запазване на възможно най-доброто качество на въздуха в тях, съвместимо с устойчивото им развитие.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Мерките по ал. 1 включват дейности за ограничаване на емисиите при условията и по реда на Закона за опазване на околната следа (ЗООС) и ЗЧАВ, включително чрез издаване на разрешения за експлоатация и чрез решенията по оценка на въздействието върху околната среда (ОВОС).</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30. Сроковете за достигане и поддържане върху територията на цялата страна на нормите за съдържание на озон в атмосферния въздух по чл. 5 и 6 се определят съответно съгласно раздели ІІ и ІІІ на приложение № 3.</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31. (1) В РОУ, в които нивата на озон превишават установените КЦН/горни оценъчни прагове, посочени в раздел ІІ на приложение № 3, се изпълняват мерките за ограничаване на общите национални емисии на азотни оксиди и летливи органични съединения съгласно Националната програма за намаляване на общите годишни емисии на серен диоксид, азотни оксиди, летливи органични съединения и амоняк в атмосферния въздух, приета с РМС № 261 от 23.04.2007 г., допълнени с мерки от програмите за намаляване на емисиите на </w:t>
      </w:r>
      <w:proofErr w:type="spellStart"/>
      <w:r>
        <w:rPr>
          <w:rFonts w:eastAsia="Times New Roman"/>
          <w:sz w:val="24"/>
          <w:szCs w:val="24"/>
          <w:highlight w:val="white"/>
          <w:shd w:val="clear" w:color="auto" w:fill="FEFEFE"/>
        </w:rPr>
        <w:t>прекурсорите</w:t>
      </w:r>
      <w:proofErr w:type="spellEnd"/>
      <w:r>
        <w:rPr>
          <w:rFonts w:eastAsia="Times New Roman"/>
          <w:sz w:val="24"/>
          <w:szCs w:val="24"/>
          <w:highlight w:val="white"/>
          <w:shd w:val="clear" w:color="auto" w:fill="FEFEFE"/>
        </w:rPr>
        <w:t xml:space="preserve"> на озона и достигане на установените целеви норми, в съответствие с разпоредбите на чл. 27 ЗЧАВ, </w:t>
      </w:r>
      <w:r>
        <w:rPr>
          <w:rFonts w:eastAsia="Times New Roman"/>
          <w:sz w:val="24"/>
          <w:szCs w:val="24"/>
          <w:highlight w:val="white"/>
          <w:shd w:val="clear" w:color="auto" w:fill="FEFEFE"/>
        </w:rPr>
        <w:lastRenderedPageBreak/>
        <w:t>както и на Инструкцията за разработване на програми за намаляване на емисиите и достигане на установените норми за вредни вещества - в РОУ на КАВ, в които е налице превишаване на тези норми (утвърдена със Заповед № РД-996 от 20.12.2001 г. на министъра на околната среда и водите).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РОУ, в които нивата на озон в атмосферния въздух превишават ДЦН/долните оценъчни прагове, но са по-ниски или равни на КЦН, се разработват и изпълняват мерки, осигуряващи тяхното достигане в установените за целта срокове и по-нататъшното им поддържане.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Мерките по ал. 2 са в съответствие с програмите по ал. 1 и допълват мерките за ограничаване на общите национални емисии на азотни оксиди и летливи органични съединения, осигуряващи изпълнението на поетите международни ангажименти на страната в рамките на Конвенцията за трансгранично замърсяване на въздуха на далечни разстояния и протоколите към нея, ратифицирани със закон.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Мерките по ал. 2 се разработват от МОСВ, а прилагането им се контролира от РИОСВ.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 РОУ, в които нивата на озон не превишават ДЦН/долните оценъчни прагове, общинските органи, съгласувано със съответните РИОСВ, предприемат необходимите мерки за поддържане нивата на озон под ДЦН и запазване на възможно най-доброто качество на въздуха в тях, съвместимо с устойчивото им развитие.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Мерките по ал. 5 включват дейности за ограничаване на емисиите при условията и по реда на ЗООС и ЗЧАВ, включително чрез издаване на разрешителни за експлоатация и чрез решенията по ОВОС.</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32. (1) В случаите, когато установените превишения на нормите за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в даден РОУ са в резултат на високи концентрации на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в атмосферния въздух, причинени от природни източници, тези превишения не се считат като такива за целите на тази наредба.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Доказването и приспадането на </w:t>
      </w:r>
      <w:proofErr w:type="spellStart"/>
      <w:r>
        <w:rPr>
          <w:rFonts w:eastAsia="Times New Roman"/>
          <w:sz w:val="24"/>
          <w:szCs w:val="24"/>
          <w:highlight w:val="white"/>
          <w:shd w:val="clear" w:color="auto" w:fill="FEFEFE"/>
        </w:rPr>
        <w:t>превишенията</w:t>
      </w:r>
      <w:proofErr w:type="spellEnd"/>
      <w:r>
        <w:rPr>
          <w:rFonts w:eastAsia="Times New Roman"/>
          <w:sz w:val="24"/>
          <w:szCs w:val="24"/>
          <w:highlight w:val="white"/>
          <w:shd w:val="clear" w:color="auto" w:fill="FEFEFE"/>
        </w:rPr>
        <w:t xml:space="preserve"> на нормите за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в случаите по ал. 1 се признават след представяне в Европейската комисия на списък за дадена календарна година на РОУ, където превишаванията на нормите се дължат на емисии от природни източници.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Доказването и приспадането по ал. 2 се определят въз основата на насоки, публикувани от Европейската комисия.</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33. (1) Министерството на околната среда и водите информира Европейската комисия за случаите, в които установените превишения на нормите за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в даден РОУ са в резултат на повторното суспендиране на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при зимното </w:t>
      </w:r>
      <w:proofErr w:type="spellStart"/>
      <w:r>
        <w:rPr>
          <w:rFonts w:eastAsia="Times New Roman"/>
          <w:sz w:val="24"/>
          <w:szCs w:val="24"/>
          <w:highlight w:val="white"/>
          <w:shd w:val="clear" w:color="auto" w:fill="FEFEFE"/>
        </w:rPr>
        <w:t>опесъчаване</w:t>
      </w:r>
      <w:proofErr w:type="spellEnd"/>
      <w:r>
        <w:rPr>
          <w:rFonts w:eastAsia="Times New Roman"/>
          <w:sz w:val="24"/>
          <w:szCs w:val="24"/>
          <w:highlight w:val="white"/>
          <w:shd w:val="clear" w:color="auto" w:fill="FEFEFE"/>
        </w:rPr>
        <w:t xml:space="preserve"> и осоляване на пътищата. В тези случаи разработените програми за достигане на нормите за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по чл. 37 трябва да съдържат единствено мерки, насочени към източници на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различни от зимното </w:t>
      </w:r>
      <w:proofErr w:type="spellStart"/>
      <w:r>
        <w:rPr>
          <w:rFonts w:eastAsia="Times New Roman"/>
          <w:sz w:val="24"/>
          <w:szCs w:val="24"/>
          <w:highlight w:val="white"/>
          <w:shd w:val="clear" w:color="auto" w:fill="FEFEFE"/>
        </w:rPr>
        <w:t>опесъчаване</w:t>
      </w:r>
      <w:proofErr w:type="spellEnd"/>
      <w:r>
        <w:rPr>
          <w:rFonts w:eastAsia="Times New Roman"/>
          <w:sz w:val="24"/>
          <w:szCs w:val="24"/>
          <w:highlight w:val="white"/>
          <w:shd w:val="clear" w:color="auto" w:fill="FEFEFE"/>
        </w:rPr>
        <w:t xml:space="preserve"> и осоляване на пътищата.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Приносът на повторното суспендиране на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при зимното </w:t>
      </w:r>
      <w:proofErr w:type="spellStart"/>
      <w:r>
        <w:rPr>
          <w:rFonts w:eastAsia="Times New Roman"/>
          <w:sz w:val="24"/>
          <w:szCs w:val="24"/>
          <w:highlight w:val="white"/>
          <w:shd w:val="clear" w:color="auto" w:fill="FEFEFE"/>
        </w:rPr>
        <w:t>опесъчаване</w:t>
      </w:r>
      <w:proofErr w:type="spellEnd"/>
      <w:r>
        <w:rPr>
          <w:rFonts w:eastAsia="Times New Roman"/>
          <w:sz w:val="24"/>
          <w:szCs w:val="24"/>
          <w:highlight w:val="white"/>
          <w:shd w:val="clear" w:color="auto" w:fill="FEFEFE"/>
        </w:rPr>
        <w:t xml:space="preserve"> и осоляване на пътищата се определя въз основата на насоки, публикувани от Европейската комисия.</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34. (1) В случаите, когато за даден РОУ на КАВ не може да бъде осигурено достигането на нормите за нивата на азотен диоксид или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в рамките на установените срокове, определени съгласно приложение № 1, се допуска удължаване с не повече от 5 години на тези срокове за постигане на съответствие при условие, че се разработи съответна програма за достигане на нормите по чл. 27 ЗЧАВ, допълнена с информацията, посочена в раздел ІІ на </w:t>
      </w:r>
      <w:r>
        <w:rPr>
          <w:rFonts w:eastAsia="Times New Roman"/>
          <w:sz w:val="24"/>
          <w:szCs w:val="24"/>
          <w:highlight w:val="white"/>
          <w:shd w:val="clear" w:color="auto" w:fill="FEFEFE"/>
        </w:rPr>
        <w:lastRenderedPageBreak/>
        <w:t>приложение № 15.</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Програмата по ал. 1 следва да осигури постигане на съответствие с нормите не по-късно от новия краен срок.</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Програмата по ал. 1, както и всяка друга информация в тази насока, се представя при уведомяването на Европейската комисия в съответствие с изискванията на чл. 36, ал. 1.</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35. (1) В случаите, когато за даден РОУ на КАВ не може да бъде осигурено достигането на нормите за нивата на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определени съгласно приложение № 1, поради специфични </w:t>
      </w:r>
      <w:proofErr w:type="spellStart"/>
      <w:r>
        <w:rPr>
          <w:rFonts w:eastAsia="Times New Roman"/>
          <w:sz w:val="24"/>
          <w:szCs w:val="24"/>
          <w:highlight w:val="white"/>
          <w:shd w:val="clear" w:color="auto" w:fill="FEFEFE"/>
        </w:rPr>
        <w:t>дисперсионни</w:t>
      </w:r>
      <w:proofErr w:type="spellEnd"/>
      <w:r>
        <w:rPr>
          <w:rFonts w:eastAsia="Times New Roman"/>
          <w:sz w:val="24"/>
          <w:szCs w:val="24"/>
          <w:highlight w:val="white"/>
          <w:shd w:val="clear" w:color="auto" w:fill="FEFEFE"/>
        </w:rPr>
        <w:t xml:space="preserve"> характеристики на мястото, неблагоприятни климатични условия или трансграничен пренос на емисии, се допуска изключение от спазването на установените норми до 11 юни 2011 г.</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Изключението по ал. 1 е допустимо единствено при условие, че е разработена съответната програма по чл. 27 ЗЧАВ и че на национално, регионално и местно равнище са предприети всички необходими мерки за спазване на сроковете, определени съгласно приложение № 1.</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36. (1) Прилагането на удължаването на сроковете по чл. 34, съответно на изключенията по чл. 35, е допустимо след уведомяване на Европейската комисия за наличието на условията по чл. 34, ал. 1, респективно чл. 35, ал. 1, и положителна преценка от нейна страна за наличието на същите.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Прилагането на удължаването на сроковете по чл. 34, съответно на изключенията по чл. 35, не трябва да води до превишаване на определените съгласно приложение № 1 норми за азотен диоксид,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с повече от максимално допустимите за тях отклонения, посочени в колона 4 на таблица 2 от раздел ІІ на приложение № 1.</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37. (1) В РОУ на КАВ, в които нивата на един или няколко замърсителя превишават установените норми и/или нормите заедно с определените допустими отклонения от тях, се изготвят програми за намаляване нивата на замърсителите и достигане на съответните норми в установените за целта срокове.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Програмите по ал. 1 се изготвят от общинските органи съгласувано със съответната РИОСВ в съответствие с разпоредбите на чл. 27 ЗЧАВ.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Програмите се разработват не по-късно от 18 месеца считано от датата на уведомяване от страна на РИОСВ на съответните общински органи за необходимостта от предприемане на необходимите мерки съгласно чл. 27 ЗЧАВ.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 районите по ал. 1, в които е налице превишаване на установените норми за повече от един замърсител, се изготвят комплексни програми за достигане на установените норми за всеки отделен замърсител.</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38. (1) (Изм. и доп. - ДВ, бр. 79 от 2019 г., в сила от 08.10.2019 г.) В случаите, когато нивата на един или няколко замърсителя превишават установените норми, за които крайният срок за тяхното постигане е изтекъл, програмите по чл. 37, ал. 1 включват подходящи мерки, така че периодът на превишаване да бъде възможно най-кратък и като минимум информацията, посочена в раздел І от приложение № 15. Програмите могат да включват и мерки, целящи защитата и на чувствителните групи от населението, включително деца.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(Доп. - ДВ, бр. 79 от 2019 г., в сила от 08.10.2019 г.) Мерките в програмите по ал. 1 </w:t>
      </w:r>
      <w:r>
        <w:rPr>
          <w:rFonts w:eastAsia="Times New Roman"/>
          <w:sz w:val="24"/>
          <w:szCs w:val="24"/>
          <w:highlight w:val="white"/>
          <w:shd w:val="clear" w:color="auto" w:fill="FEFEFE"/>
        </w:rPr>
        <w:lastRenderedPageBreak/>
        <w:t>следва да са в съответствие с мерките за ограничаване на общите национални емисии съгласно Националната програма за намаляване на общите годишни емисии на серен диоксид, азотни оксиди, летливи органични съединения и амоняк в атмосферния въздух и Програмата за прилагане на Директива 2001/80/ЕО на Европейския парламент и на Съвета от 23 октомври 2001 г. за ограничаване на емисиите на определени замърсители във въздуха, изпускани от големи горивни инсталации (ОВ, Специално българско издание от 2007 г., глава 15, том 07, стр. 210 - 230) и с мерките от плановете за действие по чл. 6 от Закона за защита от шума в околната среда.</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39. (1) (Изм. - ДВ, бр. 79 от 2019 г., в сила от 08.10.2019 г.) В случаите, когато в даден РОУ на КАВ съществува риск от превишаване на установените норми и/или алармени прагове при неблагоприятни метеорологични условия и други фактори, компетентните органи изготвят оперативни планове за действие съгласно чл. 30 ЗЧАВ, указващи мерките, които трябва да бъдат предприети в краткосрочен план за ограничаване продължителността на подобни явления и намаляване на посочения риск, целящи защитата и на чувствителните групи от населението, включително деца.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Плановете за действие по ал. 1 могат, според конкретния случай, да предвиждат мерки за ограничаване, а при необходимост - и спиране на отделни дейности, които допринасят за превишаването на нормите за КАВ, включително мерки по регулиране движението на автомобилния транспорт, в съответствие с чл. 29 ЗЧАВ.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(Доп. - ДВ, бр. 48 от 2017 г., в сила от 16.06.2017 г.) Когато съществува риск от превишаване на алармения праг за озон, плановете за действие по ал. 1 се изготвят единствено в случаите, когато съществува значителна вероятност при отчитане на конкретните географски, метеорологични и икономически условия да се намалят рискът и продължителността на такова </w:t>
      </w:r>
      <w:proofErr w:type="spellStart"/>
      <w:r>
        <w:rPr>
          <w:rFonts w:eastAsia="Times New Roman"/>
          <w:sz w:val="24"/>
          <w:szCs w:val="24"/>
          <w:highlight w:val="white"/>
          <w:shd w:val="clear" w:color="auto" w:fill="FEFEFE"/>
        </w:rPr>
        <w:t>превишение</w:t>
      </w:r>
      <w:proofErr w:type="spellEnd"/>
      <w:r>
        <w:rPr>
          <w:rFonts w:eastAsia="Times New Roman"/>
          <w:sz w:val="24"/>
          <w:szCs w:val="24"/>
          <w:highlight w:val="white"/>
          <w:shd w:val="clear" w:color="auto" w:fill="FEFEFE"/>
        </w:rPr>
        <w:t>. При изготвянето на тези планове се вземат предвид насоките, определени в Решение 2004/279/ЕО на Комисията от 19 март 2004 г. относно насоките за изпълнение на Директива 2002/3/ЕО на Европейския парламент и на Съвета относно озона в атмосферния въздух (ОВ, L, Специално издание 2007 г., раздел 15. Околна среда, потребители и здравеопазване, том 10).</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40. (1) Програмите по чл. 37, ал. 1, включително комплексните програми по чл. 37, ал. 4 и оперативните планове за действие по чл. 39, ал. 1, се разработват в съответствие със: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комплексния подход за опазване на околната среда в нейната цялост от замърсяване;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действащото законодателство в областта на ОВОС;</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действащите хигиенно-санитарни норми и изисквания;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действащото законодателство за безопасни и здравословни условия за труд.</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Съдържанието на програмите по ал. 1 следва да отговаря на условията на раздел І на приложение № 15.</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41. (1) За изпълнението на програмите отговаря кметът на съответната община съвместно със заинтересуваните физически и юридически лица.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Общинските органи съгласувано със съответната РИОСВ извършват контрол на изпълнението на програмите по чл. 37.</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42. (1) (Доп. - ДВ, бр. 79 от 2019 г., в сила от 08.10.2019 г.) В РОУ на КАВ, в които установените или целевите норми и/или алармените прагове са превишени поради значителен трансграничен пренос на замърсители на въздуха или техни </w:t>
      </w:r>
      <w:proofErr w:type="spellStart"/>
      <w:r>
        <w:rPr>
          <w:rFonts w:eastAsia="Times New Roman"/>
          <w:sz w:val="24"/>
          <w:szCs w:val="24"/>
          <w:highlight w:val="white"/>
          <w:shd w:val="clear" w:color="auto" w:fill="FEFEFE"/>
        </w:rPr>
        <w:t>прекурсори</w:t>
      </w:r>
      <w:proofErr w:type="spellEnd"/>
      <w:r>
        <w:rPr>
          <w:rFonts w:eastAsia="Times New Roman"/>
          <w:sz w:val="24"/>
          <w:szCs w:val="24"/>
          <w:highlight w:val="white"/>
          <w:shd w:val="clear" w:color="auto" w:fill="FEFEFE"/>
        </w:rPr>
        <w:t xml:space="preserve"> от друга държава - членка </w:t>
      </w:r>
      <w:r>
        <w:rPr>
          <w:rFonts w:eastAsia="Times New Roman"/>
          <w:sz w:val="24"/>
          <w:szCs w:val="24"/>
          <w:highlight w:val="white"/>
          <w:shd w:val="clear" w:color="auto" w:fill="FEFEFE"/>
        </w:rPr>
        <w:lastRenderedPageBreak/>
        <w:t>на Европейския съюз, по целесъобразност се изготвят съвместни оперативни (краткосрочни) планове за действие, а при необходимост - и програми за намаляване нивата на замърсителите и достигане на съответните норми посредством прилагането на подходящи, но пропорционални мерки.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Организацията на дейностите и предоставянето на необходимата информация в случаите по ал. 1 се координира от Министерството на околната среда и водите.</w:t>
      </w:r>
    </w:p>
    <w:p w:rsidR="00E62D79" w:rsidRDefault="00E62D79">
      <w:pPr>
        <w:rPr>
          <w:rFonts w:eastAsia="Times New Roman"/>
          <w:sz w:val="24"/>
          <w:szCs w:val="24"/>
          <w:highlight w:val="white"/>
          <w:shd w:val="clear" w:color="auto" w:fill="FEFEFE"/>
        </w:rPr>
      </w:pPr>
    </w:p>
    <w:p w:rsidR="00E62D79" w:rsidRDefault="00E62D79">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седма.</w:t>
      </w:r>
      <w:r>
        <w:rPr>
          <w:rFonts w:eastAsia="Times New Roman"/>
          <w:b/>
          <w:bCs/>
          <w:sz w:val="24"/>
          <w:szCs w:val="24"/>
          <w:highlight w:val="white"/>
          <w:shd w:val="clear" w:color="auto" w:fill="FEFEFE"/>
        </w:rPr>
        <w:br/>
        <w:t>ИНФОРМИРАНЕ НА ОБЩЕСТВЕНОСТТА И ДОКЛАДВАНЕ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43. (1) Компетентните органи по чл. 19 ЗЧАВ предоставят на обществеността съответната информация за нивата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въглероден оксид и озон в атмосферния въздух съгласно приложение № 16 чрез:</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средствата за масово осведомяване, регионалния периодичен печат, бюлетини и информационни табла, интернет страницата на ИАОС и други подобни;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известяване на организации, чиято дейност е свързана с опазването на общественото здраве;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известяване на организации, представляващи интересите на чувствителни групи от населението;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известяване на други организации и сдружения (екологични, браншови, на потребителите).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Списъкът на съответните организации по ал. 1 се съставя и актуализира ежегодно от МОСВ.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(Нова - ДВ, бр. 79 от 2019 г., в сила от 08.10.2019 г.) Информация за нивата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въглероден оксид и озон в атмосферния въздух съгласно раздели I и II на приложение № 16 се предоставя ежегодно като част от Националния доклад за състоянието и опазването на околната среда по чл. 22 от Закона за опазване на околната среда.</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44. (1) При установено превишаване в даден РОУ на алармените прагове по чл. 4 и 8 и/или на информационния праг по чл. 8 компетентните органи по чл. 19 ЗЧАВ и ИАОС предприемат необходимите мерки за своевременно предоставяне на населението на съответната информация съгласно раздел ІV на приложение № 16.</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Информацията, предоставяна на засегнатото население съгласно т. 3 от раздел ІV на приложение № 16, се съгласува предварително с Министерството на здравеопазването.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79 от 2019 г., в сила от 08.10.2019 г.) За да се осигури информирането на евентуално засегнато население в съседни държави, когато превишаванията на алармените прагове и/или на информационния праг са в РОУ до държавната граница, информацията съгласно ал. 1, и всяка друга подходяща информация се предоставя своевременно от МОСВ на компетентните органи на съответната държава.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Алинеи 1, 2 и 3 се прилагат и за случаите на прогнозирано от компетентните органи и очаквано бъдещо превишаване на даден алармен праг и/или на информационния праг.</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45. Министерството на околната среда и водите осигурява достъп до взетите решения във връзка с чл. 34, ал. 1 и чл. 35, ал. 1 относно удължаване на сроковете за постигане на съответствие с нормите за нивата на азотен диоксид и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изключенията от спазването на </w:t>
      </w:r>
      <w:r>
        <w:rPr>
          <w:rFonts w:eastAsia="Times New Roman"/>
          <w:sz w:val="24"/>
          <w:szCs w:val="24"/>
          <w:highlight w:val="white"/>
          <w:shd w:val="clear" w:color="auto" w:fill="FEFEFE"/>
        </w:rPr>
        <w:lastRenderedPageBreak/>
        <w:t>установените норми за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както и до програмите по чл. 27 ЗЧАВ.</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46. (1) Общинските органи предприемат необходимите мерки за информиране на населението във връзка с разработване на програмите по чл. 37 и на оперативните планове за действие по чл. 39.</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Общинските органи осигуряват достъп до програмите и оперативните планове за действие по ал. 1 на: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екологични организации и сдружения;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организации, чиято дейност е свързана с опазването на общественото здраве;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организации, представляващи интересите на чувствителни групи от населението;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асоциации и браншови организации.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Програмите и оперативните планове за действие по ал. 1 се публикуват на интернет страницата на съответната община.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79 от 2019 г., в сила от 08.10.2019 г.) Общинските органи публикуват на интернет страницата на съответната община отчета по чл. 27, ал. 2 от ЗЧАВ след неговото одобрение от общинския съвет.</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(Нова - ДВ, бр. 79 от 2019 г., в сила от 08.10.2019 г.) Общинските органи публикуват на интернет страницата на съответната община информация относно изпълнението на оперативните планове за действие по чл. 39, включително и резултатите от проучване за тяхната приложимост.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47. ИАОС създава и поддържа национална база данни за резултатите от извършената оценка на КАВ във връзка с прилагането на наредбата.</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48. При регистрирането, обработката и съхранението на резултатите от измерванията се спазват разпоредбите на глава пета от Наредба № 7 от 1999 г. за оценка и управление на качеството на атмосферния въздух.</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49. (1) Министерството на околната среда и водите изготвя и представя пред Европейската комисия: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за всяка календарна година не по-късно от 30 септември на следващата година: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промените в списъците с разпределението на РОУ по чл. 9, ал. 2 и чл. 18, ал. 2;</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б) РОУ на КАВ, в които нивата на един или повече замърсителя превишават установените норми или нормите заедно с допустимите за тях отклонения, където има такива, или са по-високи от целевите норми, в т.ч. оценените нива и датите и периодите, в които са наблюдавани, както и ако е приложимо, оценката в случаите по чл. 32 и 33 на приноса на емисиите на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от природни източници и повторно суспендиране при зимното </w:t>
      </w:r>
      <w:proofErr w:type="spellStart"/>
      <w:r>
        <w:rPr>
          <w:rFonts w:eastAsia="Times New Roman"/>
          <w:sz w:val="24"/>
          <w:szCs w:val="24"/>
          <w:highlight w:val="white"/>
          <w:shd w:val="clear" w:color="auto" w:fill="FEFEFE"/>
        </w:rPr>
        <w:t>опесъчаване</w:t>
      </w:r>
      <w:proofErr w:type="spellEnd"/>
      <w:r>
        <w:rPr>
          <w:rFonts w:eastAsia="Times New Roman"/>
          <w:sz w:val="24"/>
          <w:szCs w:val="24"/>
          <w:highlight w:val="white"/>
          <w:shd w:val="clear" w:color="auto" w:fill="FEFEFE"/>
        </w:rPr>
        <w:t xml:space="preserve"> и осоляване на пътищата към оценените нива на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не по-късно от две години след установено превишаване на нормите за нивата на замърсителите по чл. 3 - информация за разработените в тази връзка програми по чл. 37;</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не по-късно от две години след установено превишаване на КЦН по чл. 5 - доклад, представящ:</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обзор и анализ на установените превишавания на КЦН;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причините за годишните превишавания на КЦН за опазване на човешкото здраве;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разработените в тази връзка програми съгласно чл. 31;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на всеки три години доклад за резултатите от прилагането на програмите по чл. 31;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всяка година, за всеки месец от април до септември, и не по-късно от края на следващия месец - предварителна информация за всеки ден с превишаване на информационния и/или </w:t>
      </w:r>
      <w:r>
        <w:rPr>
          <w:rFonts w:eastAsia="Times New Roman"/>
          <w:sz w:val="24"/>
          <w:szCs w:val="24"/>
          <w:highlight w:val="white"/>
          <w:shd w:val="clear" w:color="auto" w:fill="FEFEFE"/>
        </w:rPr>
        <w:lastRenderedPageBreak/>
        <w:t>алармения праг по чл. 8, съдържаща: дата, общо часове на превишаване, максимални едночасови стойности за нивата на озон;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всяка година не по-късно от 31 октомври - всяка друга необходима предварителна информация за </w:t>
      </w:r>
      <w:proofErr w:type="spellStart"/>
      <w:r>
        <w:rPr>
          <w:rFonts w:eastAsia="Times New Roman"/>
          <w:sz w:val="24"/>
          <w:szCs w:val="24"/>
          <w:highlight w:val="white"/>
          <w:shd w:val="clear" w:color="auto" w:fill="FEFEFE"/>
        </w:rPr>
        <w:t>превишенията</w:t>
      </w:r>
      <w:proofErr w:type="spellEnd"/>
      <w:r>
        <w:rPr>
          <w:rFonts w:eastAsia="Times New Roman"/>
          <w:sz w:val="24"/>
          <w:szCs w:val="24"/>
          <w:highlight w:val="white"/>
          <w:shd w:val="clear" w:color="auto" w:fill="FEFEFE"/>
        </w:rPr>
        <w:t xml:space="preserve"> на нормите и информационния и/или алармения праг за озон съгласно приложение № 17;</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за всяка календарна година не по-късно от 30 септември на следващата година - </w:t>
      </w:r>
      <w:proofErr w:type="spellStart"/>
      <w:r>
        <w:rPr>
          <w:rFonts w:eastAsia="Times New Roman"/>
          <w:sz w:val="24"/>
          <w:szCs w:val="24"/>
          <w:highlight w:val="white"/>
          <w:shd w:val="clear" w:color="auto" w:fill="FEFEFE"/>
        </w:rPr>
        <w:t>валидираната</w:t>
      </w:r>
      <w:proofErr w:type="spellEnd"/>
      <w:r>
        <w:rPr>
          <w:rFonts w:eastAsia="Times New Roman"/>
          <w:sz w:val="24"/>
          <w:szCs w:val="24"/>
          <w:highlight w:val="white"/>
          <w:shd w:val="clear" w:color="auto" w:fill="FEFEFE"/>
        </w:rPr>
        <w:t xml:space="preserve"> информация за </w:t>
      </w:r>
      <w:proofErr w:type="spellStart"/>
      <w:r>
        <w:rPr>
          <w:rFonts w:eastAsia="Times New Roman"/>
          <w:sz w:val="24"/>
          <w:szCs w:val="24"/>
          <w:highlight w:val="white"/>
          <w:shd w:val="clear" w:color="auto" w:fill="FEFEFE"/>
        </w:rPr>
        <w:t>превишенията</w:t>
      </w:r>
      <w:proofErr w:type="spellEnd"/>
      <w:r>
        <w:rPr>
          <w:rFonts w:eastAsia="Times New Roman"/>
          <w:sz w:val="24"/>
          <w:szCs w:val="24"/>
          <w:highlight w:val="white"/>
          <w:shd w:val="clear" w:color="auto" w:fill="FEFEFE"/>
        </w:rPr>
        <w:t xml:space="preserve"> на нормите и информационния и/или алармения праг за озон по т. 5 и 6 и годишните осреднени концентрации за съответната година на веществата - </w:t>
      </w:r>
      <w:proofErr w:type="spellStart"/>
      <w:r>
        <w:rPr>
          <w:rFonts w:eastAsia="Times New Roman"/>
          <w:sz w:val="24"/>
          <w:szCs w:val="24"/>
          <w:highlight w:val="white"/>
          <w:shd w:val="clear" w:color="auto" w:fill="FEFEFE"/>
        </w:rPr>
        <w:t>прекурсори</w:t>
      </w:r>
      <w:proofErr w:type="spellEnd"/>
      <w:r>
        <w:rPr>
          <w:rFonts w:eastAsia="Times New Roman"/>
          <w:sz w:val="24"/>
          <w:szCs w:val="24"/>
          <w:highlight w:val="white"/>
          <w:shd w:val="clear" w:color="auto" w:fill="FEFEFE"/>
        </w:rPr>
        <w:t xml:space="preserve"> на озон по приложение № 14;</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на всеки три години и не по-късно от 30 септември след края на всеки тригодишен период - доклад за прилагането на наредбата, включително информация за: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измерените или оценените нива на озон в отделните РОУ;</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предприетите или планираните мерки съгласно чл. 31, ал. 2;</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оперативните планове за действие по чл. 39 за случаите на превишаване на прага за предупреждаване на населението за озон и решенията във връзка с тяхното прилагане, в т.ч. подходяща информация за оформянето, съдържанието и оценката на ефекта от прилагането на всеки такъв план.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Достъпът до информацията по ал. 1 се осъществява по реда на ЗООС.</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48 от 2017 г., в сила от 16.06.2017 г.) Докладваните данни по ал. 1 се смятат за валидни с изключение на данните, обозначени като предварителни.</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50. (1) Министерството на околната среда и водите изпраща на Европейската комисия списък на РОУ на КАВ по чл. 32 и 33.</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случаите по чл. 33 изпращаната на Европейската комисия информация включва и данни за нивата и източниците на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и предприетите мерки за постигане на установените норми.</w:t>
      </w:r>
    </w:p>
    <w:p w:rsidR="00E62D79" w:rsidRDefault="00E62D79">
      <w:pPr>
        <w:rPr>
          <w:rFonts w:eastAsia="Times New Roman"/>
          <w:sz w:val="24"/>
          <w:szCs w:val="24"/>
          <w:highlight w:val="white"/>
          <w:shd w:val="clear" w:color="auto" w:fill="FEFEFE"/>
        </w:rPr>
      </w:pPr>
    </w:p>
    <w:p w:rsidR="00E62D79" w:rsidRDefault="00E62D79">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По смисъла на тази наредба: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"Ниво" е определена стойност на концентрацията на даден замърсител в атмосферния въздух или отлагането му от атмосферния въздух върху открити площи за определен период от време.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"Оценка" е всеки метод за измерване, изчисляване (вкл. чрез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прогнозиране или приблизително определяне на ниво на даден замърсител в атмосферния въздух.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"Норма за качество на атмосферния въздух" е всяко ниво, установено с цел избягване, предотвратяване или ограничаване на вредни въздействия върху здравето на населението и/или околната среда, което следва да бъде постигнато в определен за целта срок, след което да не бъде превишавано.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"Допустимо отклонение" е определен процент от норма за качеството на атмосферния въздух, с който последната може да бъде превишавана при условията, определени в тази наредба.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"Целева норма" е дадена стойност за ниво на концентрацията на вредно вещество (замърсител) в атмосферния въздух, която следва да бъде достигната в рамките на установен срок с цел избягване, предотвратяване или ограничаване на възможните вредни въздействия върху човешкото здраве и/или околната среда.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6. "Алармен праг" е всяко ниво, чието превишаване е свързано с риск за здравето на населението, включително при кратковременна експозиция, и при превишаването на което се предприемат незабавни мерки.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"Праг за информиране на населението" е праг за нивата на озон в атмосферния въздух, превишаването на който е свързан с риск за здравето на особено чувствителни групи от населението, включително при кратковременна експозиция, и при превишаването на който е необходимо незабавно предоставяне на подходяща информация.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"Горен оценъчен праг" е ниво на съответния замърсител, под което за оценка на качеството на атмосферния въздух е достатъчно използването на комбинация от методи за постоянни измервания и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и/или индикативни измервания.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(доп. - ДВ, бр. 79 от 2019 г., в сила от 08.10.2019 г.) "Долен оценъчен праг" е ниво на съответния замърсител, под което за оценка на качеството на атмосферния въздух е достатъчно използването само на методи на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или инвентаризация на емисиите и други представителни методи за обективна оценка.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"Дългосрочна целева норма" е дадено ниво за съдържание на озон в атмосферния въздух, което следва да бъде достигнато в дългосрочен план, освен когато не може да бъде достигнато чрез съразмерни мерки, с цел да се осигури ефективно опазване на човешкото здраве и околната среда.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"Емисии от природни източници" са емисиите на замърсители, които не са причинени пряко или косвено от човешка дейност и включват такива явления, като вулканичните изригвания, сеизмичната активност, геотермалната активност, пожарите, силните ветрове, атмосферните отлагания или преноса на природни частици от сухи райони.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"Район за оценка и управление на качеството на атмосферния въздух" е част от територията на страната в граници, определени съгласно разпоредбите на чл. 9 и 18.</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"Агломерация" е всеки район за оценка и управление по т. 12 с население, по-голямо от 250 000 жители.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са всички частици, преминаващи през размерно-селективен сепаратор, определен съгласно референтния метод за вземане на проби и измерване нивата на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с 50 %-на ефективност на задържане при аеродинамичен диаметър на частиците до 10 микрона.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са всички частици, преминаващи през размерно-селективен сепаратор, определен съгласно референтния метод за вземане на проби и измерване нивата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с 50 %-на ефективност на задържане при аеродинамичен диаметър на частиците до 2,5 микрона.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"Показател за средна експозиция на населението" е осредненото ниво, оценено въз основа на измервания в градски фонови пунктове за мониторинг, отразяващо експозицията на населението и използвано за определяне на целта за ограничаване на експозицията и задължението във връзка с концентрациите на експозицията.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"Задължение във връзка с концентрациите на експозицията" е ниво, определено въз основа на показателя за средна експозиция на населението, с цел ограничаване на вредните въздействия върху здравето на населението, което следва да бъде постигнато в определен за целта срок.</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"Цел за ограничаване на експозицията" е процентното намаление на средната експозиция на населението, определено за съответната година, с цел ограничаване на вредните въздействия върху здравето на населението и което следва бъде постигнато, когато е възможно, за определен срок.</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"Градски фонови пунктове за мониторинг" са тези пунктове за мониторинг, които са разположени в застроената част на града и където измерените нива на отделните замърсители са представителни за експозицията на по-голямата част от населението.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"Азотни оксиди" е сумарната концентрация в милиардни части (</w:t>
      </w:r>
      <w:proofErr w:type="spellStart"/>
      <w:r>
        <w:rPr>
          <w:rFonts w:eastAsia="Times New Roman"/>
          <w:sz w:val="24"/>
          <w:szCs w:val="24"/>
          <w:highlight w:val="white"/>
          <w:shd w:val="clear" w:color="auto" w:fill="FEFEFE"/>
        </w:rPr>
        <w:t>ppb</w:t>
      </w:r>
      <w:proofErr w:type="spellEnd"/>
      <w:r>
        <w:rPr>
          <w:rFonts w:eastAsia="Times New Roman"/>
          <w:sz w:val="24"/>
          <w:szCs w:val="24"/>
          <w:highlight w:val="white"/>
          <w:shd w:val="clear" w:color="auto" w:fill="FEFEFE"/>
        </w:rPr>
        <w:t xml:space="preserve">) на азотен оксид и азотен диоксид и изразена като концентрация на азотен диоксид в </w:t>
      </w:r>
      <w:proofErr w:type="spellStart"/>
      <w:r>
        <w:rPr>
          <w:rFonts w:eastAsia="Times New Roman"/>
          <w:sz w:val="24"/>
          <w:szCs w:val="24"/>
          <w:highlight w:val="white"/>
          <w:shd w:val="clear" w:color="auto" w:fill="FEFEFE"/>
        </w:rPr>
        <w:t>микрограми</w:t>
      </w:r>
      <w:proofErr w:type="spellEnd"/>
      <w:r>
        <w:rPr>
          <w:rFonts w:eastAsia="Times New Roman"/>
          <w:sz w:val="24"/>
          <w:szCs w:val="24"/>
          <w:highlight w:val="white"/>
          <w:shd w:val="clear" w:color="auto" w:fill="FEFEFE"/>
        </w:rPr>
        <w:t xml:space="preserve"> на кубичен метър </w:t>
      </w:r>
      <w:r>
        <w:rPr>
          <w:rFonts w:eastAsia="Times New Roman"/>
          <w:sz w:val="24"/>
          <w:szCs w:val="24"/>
          <w:highlight w:val="white"/>
          <w:shd w:val="clear" w:color="auto" w:fill="FEFEFE"/>
        </w:rPr>
        <w:lastRenderedPageBreak/>
        <w:t>(µg/m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"Постоянни измервания" означават непрекъснати или периодични измервания, направени в постоянен пункт за мониторинг, в съответствие с поставените изисквания за качество на данните.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"Индикативни измервания" означават измервания, към които не се поставят толкова строги изисквания по отношение качеството на данните в сравнение с измерванията по т. 21.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"Летливи органични съединения" са всички органични съединения от антропогенни и биогенни източници, различни от метан, които са способни да образуват фотохимични окислители при взаимодействието им с азотни оксиди в присъствието на слънчева светлина.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w:t>
      </w:r>
      <w:proofErr w:type="spellStart"/>
      <w:r>
        <w:rPr>
          <w:rFonts w:eastAsia="Times New Roman"/>
          <w:sz w:val="24"/>
          <w:szCs w:val="24"/>
          <w:highlight w:val="white"/>
          <w:shd w:val="clear" w:color="auto" w:fill="FEFEFE"/>
        </w:rPr>
        <w:t>Прекурсори</w:t>
      </w:r>
      <w:proofErr w:type="spellEnd"/>
      <w:r>
        <w:rPr>
          <w:rFonts w:eastAsia="Times New Roman"/>
          <w:sz w:val="24"/>
          <w:szCs w:val="24"/>
          <w:highlight w:val="white"/>
          <w:shd w:val="clear" w:color="auto" w:fill="FEFEFE"/>
        </w:rPr>
        <w:t xml:space="preserve"> на озон" са веществата, допринасящи за образуването на озон в приземния атмосферен слой, някои от които са посочени в раздел ІІ на приложение № 14.</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 (Доп. - ДВ, бр. 48 от 2017 г., в сила от 16.06.2017 г.) С тази наредба се въвеждат изискванията на Директива 2008/50/ЕО на Европейския парламент и на Съвета от 21 май 2008 г. относно качеството на атмосферния въздух и за по-чист въздух за Европа (OB, L 152, 11.06.2008 г., стр. 1 - 44) и на Директива (ЕС) 2015/1480 на Комисията от 28 август 2015 г. за изменение на няколко приложения към Директива 2004/107/ЕО и Директива 2008/50/ЕО на Европейския парламент и на Съвета, в които са определени правила относно референтните методи, </w:t>
      </w:r>
      <w:proofErr w:type="spellStart"/>
      <w:r>
        <w:rPr>
          <w:rFonts w:eastAsia="Times New Roman"/>
          <w:sz w:val="24"/>
          <w:szCs w:val="24"/>
          <w:highlight w:val="white"/>
          <w:shd w:val="clear" w:color="auto" w:fill="FEFEFE"/>
        </w:rPr>
        <w:t>валидирането</w:t>
      </w:r>
      <w:proofErr w:type="spellEnd"/>
      <w:r>
        <w:rPr>
          <w:rFonts w:eastAsia="Times New Roman"/>
          <w:sz w:val="24"/>
          <w:szCs w:val="24"/>
          <w:highlight w:val="white"/>
          <w:shd w:val="clear" w:color="auto" w:fill="FEFEFE"/>
        </w:rPr>
        <w:t xml:space="preserve"> на данни и местоположението на точките за вземане на проби при оценяване на качеството на атмосферния въздух (OB, L 226, 29.08.2015 г.).</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2а. (Нов - ДВ, бр. 48 от 2017 г., в сила от 16.06.2017 г.) Изискванията за акредитиране на органи за оценяване на съответствието, определени в тази наредба, се прилагат при спазване на разпоредбите на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218/30 от 13 август 2008 г.) и на Закона за националната акредитация на органи за оценяване на съответствието.</w:t>
      </w:r>
    </w:p>
    <w:p w:rsidR="00E62D79" w:rsidRDefault="00E62D79">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3. Наредбата се издава на основание чл. 6, ал. 1 във връзка с § 5 на Закона за чистотата на атмосферния въздух.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 Указания по прилагането на наредбата дават министърът на околната среда и водите и министърът на здравеопазването.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5. Използваните методи по чл. 15, ал. 4 се утвърждават със заповед на министъра на околната среда и водите в срок до 30.12.2010 г.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Министерството на околната среда и водите информира еднократно Европейската комисия за използваните методи за измерване на химичния състав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по чл. 15, ал. 4.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7. Министерството на околната среда и водите информира еднократно Европейската комисия за използваните методи за вземане на проби и измерване на летливите органични съединения, посочени в таблица 22 на приложение № 14.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8. Тази наредба отменя Наредба № 1 от 2004 г. за норми за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(ДВ, бр. 14 от 2004 г.), Наредба № 4 от 2004 г. за норми за озон и алармени прагове за нивата на озон в атмосферния въздух (ДВ, бр. 64 от 2004 г.) и Наредба № 9 от 1999 г. за норми за серен диоксид, азотен диоксид, фини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и олово в атмосферния въздух (ДВ, бр. 46 от 1999 г.) от датата на влизането си в сила.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9. Тази наредба влиза в сила от датата на обнародването ѝ в "Държавен вестник".</w:t>
      </w:r>
    </w:p>
    <w:p w:rsidR="00E62D79" w:rsidRDefault="00E62D79">
      <w:pPr>
        <w:rPr>
          <w:rFonts w:eastAsia="Times New Roman"/>
          <w:sz w:val="24"/>
          <w:szCs w:val="24"/>
          <w:highlight w:val="white"/>
          <w:shd w:val="clear" w:color="auto" w:fill="FEFEFE"/>
        </w:rPr>
      </w:pPr>
    </w:p>
    <w:p w:rsidR="00E62D79" w:rsidRDefault="00E62D79">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12 ОТ 2010 Г. ЗА НОРМИ ЗА СЕРЕН ДИОКСИД, АЗОТЕН ДИОКСИД, ФИНИ ПРАХОВИ ЧАСТИЦИ, ОЛОВО, БЕНЗЕН, ВЪГЛЕРОДЕН ОКСИД И ОЗОН В АТМОСФЕРНИЯ ВЪЗДУХ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48 ОТ 2017 Г., В СИЛА ОТ 16.06.2017 Г.)</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 Наредбата влиза в сила от деня на обнародването ѝ в "Държавен вестник".</w:t>
      </w:r>
    </w:p>
    <w:p w:rsidR="00E62D79" w:rsidRDefault="00E62D79">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12 ОТ 2010 Г. ЗА НОРМИ ЗА СЕРЕН ДИОКСИД, АЗОТЕН ДИОКСИД, ФИНИ ПРАХОВИ ЧАСТИЦИ, ОЛОВО, БЕНЗЕН, ВЪГЛЕРОДЕН ОКСИД И ОЗОН В АТМОСФЕРНИЯ ВЪЗДУХ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79 ОТ 2019 Г., В СИЛА ОТ 08.10.2019 Г.)</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 Наредбата влиза в сила от деня на обнародването ѝ в "Държавен вестник".</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3</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Норми за серен диоксид, азотен диоксид и азотни оксиди,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Изисквания за обобщаване на данните и статистическите параметри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 проверка на валидността при обобщаването на данните и изчисляване на статистическите параметри се използват следните критерии:</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w:t>
      </w:r>
    </w:p>
    <w:p w:rsidR="00E62D79" w:rsidRDefault="00E62D79">
      <w:pPr>
        <w:rPr>
          <w:rFonts w:eastAsia="Times New Roman"/>
          <w:sz w:val="24"/>
          <w:szCs w:val="24"/>
          <w:highlight w:val="white"/>
          <w:shd w:val="clear" w:color="auto" w:fill="FEFEFE"/>
        </w:rPr>
      </w:pPr>
    </w:p>
    <w:tbl>
      <w:tblPr>
        <w:tblW w:w="9915" w:type="dxa"/>
        <w:tblInd w:w="20" w:type="dxa"/>
        <w:tblLayout w:type="fixed"/>
        <w:tblCellMar>
          <w:left w:w="15" w:type="dxa"/>
          <w:right w:w="15" w:type="dxa"/>
        </w:tblCellMar>
        <w:tblLook w:val="0000" w:firstRow="0" w:lastRow="0" w:firstColumn="0" w:lastColumn="0" w:noHBand="0" w:noVBand="0"/>
      </w:tblPr>
      <w:tblGrid>
        <w:gridCol w:w="4433"/>
        <w:gridCol w:w="5482"/>
      </w:tblGrid>
      <w:tr w:rsidR="00E62D79">
        <w:tblPrEx>
          <w:tblCellMar>
            <w:top w:w="0" w:type="dxa"/>
            <w:bottom w:w="0" w:type="dxa"/>
          </w:tblCellMar>
        </w:tblPrEx>
        <w:trPr>
          <w:trHeight w:val="283"/>
        </w:trPr>
        <w:tc>
          <w:tcPr>
            <w:tcW w:w="4433"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Параметър</w:t>
            </w:r>
          </w:p>
        </w:tc>
        <w:tc>
          <w:tcPr>
            <w:tcW w:w="5482"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Изискван минимум валидни данни</w:t>
            </w:r>
          </w:p>
        </w:tc>
      </w:tr>
      <w:tr w:rsidR="00E62D79">
        <w:tblPrEx>
          <w:tblCellMar>
            <w:top w:w="0" w:type="dxa"/>
            <w:bottom w:w="0" w:type="dxa"/>
          </w:tblCellMar>
        </w:tblPrEx>
        <w:trPr>
          <w:trHeight w:val="283"/>
        </w:trPr>
        <w:tc>
          <w:tcPr>
            <w:tcW w:w="4433"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Средночасови</w:t>
            </w:r>
            <w:proofErr w:type="spellEnd"/>
            <w:r>
              <w:rPr>
                <w:rFonts w:ascii="Arial" w:eastAsia="Times New Roman" w:hAnsi="Arial" w:cs="Arial"/>
                <w:highlight w:val="white"/>
                <w:shd w:val="clear" w:color="auto" w:fill="FEFEFE"/>
              </w:rPr>
              <w:t xml:space="preserve"> стойности</w:t>
            </w:r>
          </w:p>
        </w:tc>
        <w:tc>
          <w:tcPr>
            <w:tcW w:w="5482"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75 % (т.е. 45 минути)</w:t>
            </w:r>
          </w:p>
        </w:tc>
      </w:tr>
      <w:tr w:rsidR="00E62D79">
        <w:tblPrEx>
          <w:tblCellMar>
            <w:top w:w="0" w:type="dxa"/>
            <w:bottom w:w="0" w:type="dxa"/>
          </w:tblCellMar>
        </w:tblPrEx>
        <w:trPr>
          <w:trHeight w:val="283"/>
        </w:trPr>
        <w:tc>
          <w:tcPr>
            <w:tcW w:w="4433"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8-часови стойности</w:t>
            </w:r>
          </w:p>
        </w:tc>
        <w:tc>
          <w:tcPr>
            <w:tcW w:w="5482"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75 % от стойностите (т.е. 6 часа)</w:t>
            </w:r>
          </w:p>
        </w:tc>
      </w:tr>
      <w:tr w:rsidR="00E62D79">
        <w:tblPrEx>
          <w:tblCellMar>
            <w:top w:w="0" w:type="dxa"/>
            <w:bottom w:w="0" w:type="dxa"/>
          </w:tblCellMar>
        </w:tblPrEx>
        <w:trPr>
          <w:trHeight w:val="283"/>
        </w:trPr>
        <w:tc>
          <w:tcPr>
            <w:tcW w:w="4433"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Максимална 8-часова средна стойност в рамките на денонощието</w:t>
            </w:r>
          </w:p>
        </w:tc>
        <w:tc>
          <w:tcPr>
            <w:tcW w:w="5482"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75 % от почасовите текущи 8-часови средни стойности (т.е. 18 от 24-те възможни 8-часови средни стойности за деня)</w:t>
            </w:r>
          </w:p>
        </w:tc>
      </w:tr>
      <w:tr w:rsidR="00E62D79">
        <w:tblPrEx>
          <w:tblCellMar>
            <w:top w:w="0" w:type="dxa"/>
            <w:bottom w:w="0" w:type="dxa"/>
          </w:tblCellMar>
        </w:tblPrEx>
        <w:trPr>
          <w:trHeight w:val="283"/>
        </w:trPr>
        <w:tc>
          <w:tcPr>
            <w:tcW w:w="4433"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24-часови стойности</w:t>
            </w:r>
          </w:p>
        </w:tc>
        <w:tc>
          <w:tcPr>
            <w:tcW w:w="548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75 % от </w:t>
            </w:r>
            <w:proofErr w:type="spellStart"/>
            <w:r>
              <w:rPr>
                <w:rFonts w:ascii="Arial" w:eastAsia="Times New Roman" w:hAnsi="Arial" w:cs="Arial"/>
                <w:highlight w:val="white"/>
                <w:shd w:val="clear" w:color="auto" w:fill="FEFEFE"/>
              </w:rPr>
              <w:t>средночасовите</w:t>
            </w:r>
            <w:proofErr w:type="spellEnd"/>
            <w:r>
              <w:rPr>
                <w:rFonts w:ascii="Arial" w:eastAsia="Times New Roman" w:hAnsi="Arial" w:cs="Arial"/>
                <w:highlight w:val="white"/>
                <w:shd w:val="clear" w:color="auto" w:fill="FEFEFE"/>
              </w:rPr>
              <w:t xml:space="preserve"> стойности (т.е. най-малко 18 </w:t>
            </w:r>
            <w:proofErr w:type="spellStart"/>
            <w:r>
              <w:rPr>
                <w:rFonts w:ascii="Arial" w:eastAsia="Times New Roman" w:hAnsi="Arial" w:cs="Arial"/>
                <w:highlight w:val="white"/>
                <w:shd w:val="clear" w:color="auto" w:fill="FEFEFE"/>
              </w:rPr>
              <w:t>средночасови</w:t>
            </w:r>
            <w:proofErr w:type="spellEnd"/>
            <w:r>
              <w:rPr>
                <w:rFonts w:ascii="Arial" w:eastAsia="Times New Roman" w:hAnsi="Arial" w:cs="Arial"/>
                <w:highlight w:val="white"/>
                <w:shd w:val="clear" w:color="auto" w:fill="FEFEFE"/>
              </w:rPr>
              <w:t xml:space="preserve"> стойности)</w:t>
            </w:r>
          </w:p>
        </w:tc>
      </w:tr>
      <w:tr w:rsidR="00E62D79">
        <w:tblPrEx>
          <w:tblCellMar>
            <w:top w:w="0" w:type="dxa"/>
            <w:bottom w:w="0" w:type="dxa"/>
          </w:tblCellMar>
        </w:tblPrEx>
        <w:trPr>
          <w:trHeight w:val="283"/>
        </w:trPr>
        <w:tc>
          <w:tcPr>
            <w:tcW w:w="4433"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стойност</w:t>
            </w:r>
          </w:p>
        </w:tc>
        <w:tc>
          <w:tcPr>
            <w:tcW w:w="5482"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90 % </w:t>
            </w:r>
            <w:r>
              <w:rPr>
                <w:rFonts w:ascii="Arial" w:eastAsia="Times New Roman" w:hAnsi="Arial" w:cs="Arial"/>
                <w:highlight w:val="white"/>
                <w:shd w:val="clear" w:color="auto" w:fill="FEFEFE"/>
                <w:vertAlign w:val="superscript"/>
              </w:rPr>
              <w:t>(1)</w:t>
            </w:r>
            <w:r>
              <w:rPr>
                <w:rFonts w:ascii="Arial" w:eastAsia="Times New Roman" w:hAnsi="Arial" w:cs="Arial"/>
                <w:highlight w:val="white"/>
                <w:shd w:val="clear" w:color="auto" w:fill="FEFEFE"/>
              </w:rPr>
              <w:t xml:space="preserve"> от </w:t>
            </w:r>
            <w:proofErr w:type="spellStart"/>
            <w:r>
              <w:rPr>
                <w:rFonts w:ascii="Arial" w:eastAsia="Times New Roman" w:hAnsi="Arial" w:cs="Arial"/>
                <w:highlight w:val="white"/>
                <w:shd w:val="clear" w:color="auto" w:fill="FEFEFE"/>
              </w:rPr>
              <w:t>средночасовите</w:t>
            </w:r>
            <w:proofErr w:type="spellEnd"/>
            <w:r>
              <w:rPr>
                <w:rFonts w:ascii="Arial" w:eastAsia="Times New Roman" w:hAnsi="Arial" w:cs="Arial"/>
                <w:highlight w:val="white"/>
                <w:shd w:val="clear" w:color="auto" w:fill="FEFEFE"/>
              </w:rPr>
              <w:t xml:space="preserve"> стойности или (ако няма такива) 24-часовите стойности за годината</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Изискванията за изчисляване на средногодишната стойност не включват загубите на данни, дължащи се на редовното калибриране или обичайната поддръжка на приборите.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ІІ. Норми за серен диоксид, азотен диоксид и азотни оксиди,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2</w:t>
      </w:r>
    </w:p>
    <w:p w:rsidR="00E62D79" w:rsidRDefault="00E62D79">
      <w:pPr>
        <w:rPr>
          <w:rFonts w:eastAsia="Times New Roman"/>
          <w:sz w:val="24"/>
          <w:szCs w:val="24"/>
          <w:highlight w:val="white"/>
          <w:shd w:val="clear" w:color="auto" w:fill="FEFEFE"/>
        </w:rPr>
      </w:pPr>
    </w:p>
    <w:tbl>
      <w:tblPr>
        <w:tblW w:w="11040" w:type="dxa"/>
        <w:tblInd w:w="20" w:type="dxa"/>
        <w:tblLayout w:type="fixed"/>
        <w:tblCellMar>
          <w:left w:w="15" w:type="dxa"/>
          <w:right w:w="15" w:type="dxa"/>
        </w:tblCellMar>
        <w:tblLook w:val="0000" w:firstRow="0" w:lastRow="0" w:firstColumn="0" w:lastColumn="0" w:noHBand="0" w:noVBand="0"/>
      </w:tblPr>
      <w:tblGrid>
        <w:gridCol w:w="2755"/>
        <w:gridCol w:w="2071"/>
        <w:gridCol w:w="2072"/>
        <w:gridCol w:w="2076"/>
        <w:gridCol w:w="2066"/>
      </w:tblGrid>
      <w:tr w:rsidR="00E62D79">
        <w:tblPrEx>
          <w:tblCellMar>
            <w:top w:w="0" w:type="dxa"/>
            <w:bottom w:w="0" w:type="dxa"/>
          </w:tblCellMar>
        </w:tblPrEx>
        <w:trPr>
          <w:trHeight w:val="283"/>
        </w:trPr>
        <w:tc>
          <w:tcPr>
            <w:tcW w:w="2754"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Норма</w:t>
            </w:r>
          </w:p>
        </w:tc>
        <w:tc>
          <w:tcPr>
            <w:tcW w:w="2071"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Период на осредняване</w:t>
            </w:r>
          </w:p>
        </w:tc>
        <w:tc>
          <w:tcPr>
            <w:tcW w:w="207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Стойност</w:t>
            </w:r>
          </w:p>
        </w:tc>
        <w:tc>
          <w:tcPr>
            <w:tcW w:w="207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Допустимо отклонение</w:t>
            </w:r>
          </w:p>
        </w:tc>
        <w:tc>
          <w:tcPr>
            <w:tcW w:w="206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Дата, към която нормата трябва да бъде спазена</w:t>
            </w:r>
          </w:p>
        </w:tc>
      </w:tr>
      <w:tr w:rsidR="00E62D79">
        <w:tblPrEx>
          <w:tblCellMar>
            <w:top w:w="0" w:type="dxa"/>
            <w:bottom w:w="0" w:type="dxa"/>
          </w:tblCellMar>
        </w:tblPrEx>
        <w:trPr>
          <w:trHeight w:val="283"/>
        </w:trPr>
        <w:tc>
          <w:tcPr>
            <w:tcW w:w="2754"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w:t>
            </w:r>
          </w:p>
        </w:tc>
        <w:tc>
          <w:tcPr>
            <w:tcW w:w="2071"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c>
          <w:tcPr>
            <w:tcW w:w="2072"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c>
          <w:tcPr>
            <w:tcW w:w="2076"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w:t>
            </w:r>
          </w:p>
        </w:tc>
        <w:tc>
          <w:tcPr>
            <w:tcW w:w="2066"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w:t>
            </w:r>
          </w:p>
        </w:tc>
      </w:tr>
      <w:tr w:rsidR="00E62D79">
        <w:tblPrEx>
          <w:tblCellMar>
            <w:top w:w="0" w:type="dxa"/>
            <w:bottom w:w="0" w:type="dxa"/>
          </w:tblCellMar>
        </w:tblPrEx>
        <w:trPr>
          <w:trHeight w:val="283"/>
        </w:trPr>
        <w:tc>
          <w:tcPr>
            <w:tcW w:w="11039" w:type="dxa"/>
            <w:gridSpan w:val="5"/>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i/>
                <w:iCs/>
                <w:highlight w:val="white"/>
                <w:shd w:val="clear" w:color="auto" w:fill="FEFEFE"/>
              </w:rPr>
              <w:t>Серен диоксид</w:t>
            </w:r>
          </w:p>
        </w:tc>
      </w:tr>
      <w:tr w:rsidR="00E62D79">
        <w:tblPrEx>
          <w:tblCellMar>
            <w:top w:w="0" w:type="dxa"/>
            <w:bottom w:w="0" w:type="dxa"/>
          </w:tblCellMar>
        </w:tblPrEx>
        <w:trPr>
          <w:trHeight w:val="283"/>
        </w:trPr>
        <w:tc>
          <w:tcPr>
            <w:tcW w:w="2754"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lastRenderedPageBreak/>
              <w:t>Средночасова</w:t>
            </w:r>
            <w:proofErr w:type="spellEnd"/>
            <w:r>
              <w:rPr>
                <w:rFonts w:ascii="Arial" w:eastAsia="Times New Roman" w:hAnsi="Arial" w:cs="Arial"/>
                <w:highlight w:val="white"/>
                <w:shd w:val="clear" w:color="auto" w:fill="FEFEFE"/>
              </w:rPr>
              <w:t xml:space="preserve"> норма за опазване на човешкото здраве</w:t>
            </w:r>
          </w:p>
        </w:tc>
        <w:tc>
          <w:tcPr>
            <w:tcW w:w="2071"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час</w:t>
            </w:r>
          </w:p>
        </w:tc>
        <w:tc>
          <w:tcPr>
            <w:tcW w:w="207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350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(да не бъде превишавана повече от 24 пъти в рамките на една календарна година (КГ)</w:t>
            </w:r>
          </w:p>
        </w:tc>
        <w:tc>
          <w:tcPr>
            <w:tcW w:w="207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150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(43 %)</w:t>
            </w:r>
          </w:p>
        </w:tc>
        <w:tc>
          <w:tcPr>
            <w:tcW w:w="206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1.01.2005 г.</w:t>
            </w:r>
          </w:p>
        </w:tc>
      </w:tr>
      <w:tr w:rsidR="00E62D79">
        <w:tblPrEx>
          <w:tblCellMar>
            <w:top w:w="0" w:type="dxa"/>
            <w:bottom w:w="0" w:type="dxa"/>
          </w:tblCellMar>
        </w:tblPrEx>
        <w:trPr>
          <w:trHeight w:val="283"/>
        </w:trPr>
        <w:tc>
          <w:tcPr>
            <w:tcW w:w="2754"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Средноденонощна</w:t>
            </w:r>
            <w:proofErr w:type="spellEnd"/>
            <w:r>
              <w:rPr>
                <w:rFonts w:ascii="Arial" w:eastAsia="Times New Roman" w:hAnsi="Arial" w:cs="Arial"/>
                <w:highlight w:val="white"/>
                <w:shd w:val="clear" w:color="auto" w:fill="FEFEFE"/>
              </w:rPr>
              <w:t xml:space="preserve"> норма за опазване на човешкото здраве</w:t>
            </w:r>
          </w:p>
        </w:tc>
        <w:tc>
          <w:tcPr>
            <w:tcW w:w="2071"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24 часа</w:t>
            </w:r>
          </w:p>
        </w:tc>
        <w:tc>
          <w:tcPr>
            <w:tcW w:w="207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125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(да не бъде превишавана повече от 3 пъти в рамките на една КГ)</w:t>
            </w:r>
          </w:p>
        </w:tc>
        <w:tc>
          <w:tcPr>
            <w:tcW w:w="207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Няма</w:t>
            </w:r>
          </w:p>
        </w:tc>
        <w:tc>
          <w:tcPr>
            <w:tcW w:w="206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1.01.2005 г.</w:t>
            </w:r>
          </w:p>
        </w:tc>
      </w:tr>
      <w:tr w:rsidR="00E62D79">
        <w:tblPrEx>
          <w:tblCellMar>
            <w:top w:w="0" w:type="dxa"/>
            <w:bottom w:w="0" w:type="dxa"/>
          </w:tblCellMar>
        </w:tblPrEx>
        <w:trPr>
          <w:trHeight w:val="283"/>
        </w:trPr>
        <w:tc>
          <w:tcPr>
            <w:tcW w:w="2754"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Норма за опазване на природните екосистеми (не се прилага в непосредствена близост до източниците)</w:t>
            </w:r>
          </w:p>
        </w:tc>
        <w:tc>
          <w:tcPr>
            <w:tcW w:w="2071"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една календарна година и зима (от 1 октомври до 31 март)</w:t>
            </w:r>
          </w:p>
        </w:tc>
        <w:tc>
          <w:tcPr>
            <w:tcW w:w="207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20 µg/m</w:t>
            </w:r>
            <w:r>
              <w:rPr>
                <w:rFonts w:ascii="Arial" w:eastAsia="Times New Roman" w:hAnsi="Arial" w:cs="Arial"/>
                <w:highlight w:val="white"/>
                <w:shd w:val="clear" w:color="auto" w:fill="FEFEFE"/>
                <w:vertAlign w:val="superscript"/>
              </w:rPr>
              <w:t>3</w:t>
            </w:r>
          </w:p>
        </w:tc>
        <w:tc>
          <w:tcPr>
            <w:tcW w:w="207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Няма</w:t>
            </w:r>
          </w:p>
        </w:tc>
        <w:tc>
          <w:tcPr>
            <w:tcW w:w="206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11039" w:type="dxa"/>
            <w:gridSpan w:val="5"/>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i/>
                <w:iCs/>
                <w:highlight w:val="white"/>
                <w:shd w:val="clear" w:color="auto" w:fill="FEFEFE"/>
              </w:rPr>
              <w:t>Азотен диоксид и азотни оксиди</w:t>
            </w:r>
          </w:p>
        </w:tc>
      </w:tr>
      <w:tr w:rsidR="00E62D79">
        <w:tblPrEx>
          <w:tblCellMar>
            <w:top w:w="0" w:type="dxa"/>
            <w:bottom w:w="0" w:type="dxa"/>
          </w:tblCellMar>
        </w:tblPrEx>
        <w:trPr>
          <w:trHeight w:val="283"/>
        </w:trPr>
        <w:tc>
          <w:tcPr>
            <w:tcW w:w="2754"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Средночасова</w:t>
            </w:r>
            <w:proofErr w:type="spellEnd"/>
            <w:r>
              <w:rPr>
                <w:rFonts w:ascii="Arial" w:eastAsia="Times New Roman" w:hAnsi="Arial" w:cs="Arial"/>
                <w:highlight w:val="white"/>
                <w:shd w:val="clear" w:color="auto" w:fill="FEFEFE"/>
              </w:rPr>
              <w:t xml:space="preserve"> норма за опазване на човешкото здраве</w:t>
            </w:r>
          </w:p>
        </w:tc>
        <w:tc>
          <w:tcPr>
            <w:tcW w:w="207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час</w:t>
            </w:r>
          </w:p>
        </w:tc>
        <w:tc>
          <w:tcPr>
            <w:tcW w:w="2072"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200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NO</w:t>
            </w:r>
            <w:r>
              <w:rPr>
                <w:rFonts w:ascii="Arial" w:eastAsia="Times New Roman" w:hAnsi="Arial" w:cs="Arial"/>
                <w:highlight w:val="white"/>
                <w:shd w:val="clear" w:color="auto" w:fill="FEFEFE"/>
                <w:vertAlign w:val="subscript"/>
              </w:rPr>
              <w:t>2</w:t>
            </w:r>
            <w:r>
              <w:rPr>
                <w:rFonts w:ascii="Arial" w:eastAsia="Times New Roman" w:hAnsi="Arial" w:cs="Arial"/>
                <w:highlight w:val="white"/>
                <w:shd w:val="clear" w:color="auto" w:fill="FEFEFE"/>
              </w:rPr>
              <w:t xml:space="preserve"> (да не бъде превишавана повече от 18 пъти в рамките на една КГ)</w:t>
            </w:r>
          </w:p>
        </w:tc>
        <w:tc>
          <w:tcPr>
            <w:tcW w:w="207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 на 19.07.1999 г., намалява линейно на 1.01.2001 г. и на всеки 12 месеца след това до достигане на 0 % към 1.01.2010 г.</w:t>
            </w:r>
          </w:p>
        </w:tc>
        <w:tc>
          <w:tcPr>
            <w:tcW w:w="206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1.01.2010 г.</w:t>
            </w:r>
          </w:p>
        </w:tc>
      </w:tr>
      <w:tr w:rsidR="00E62D79">
        <w:tblPrEx>
          <w:tblCellMar>
            <w:top w:w="0" w:type="dxa"/>
            <w:bottom w:w="0" w:type="dxa"/>
          </w:tblCellMar>
        </w:tblPrEx>
        <w:trPr>
          <w:trHeight w:val="283"/>
        </w:trPr>
        <w:tc>
          <w:tcPr>
            <w:tcW w:w="2754"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норма за опазване на човешкото здраве</w:t>
            </w:r>
          </w:p>
        </w:tc>
        <w:tc>
          <w:tcPr>
            <w:tcW w:w="207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една календарна година</w:t>
            </w:r>
          </w:p>
        </w:tc>
        <w:tc>
          <w:tcPr>
            <w:tcW w:w="2072"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NO</w:t>
            </w:r>
            <w:r>
              <w:rPr>
                <w:rFonts w:ascii="Arial" w:eastAsia="Times New Roman" w:hAnsi="Arial" w:cs="Arial"/>
                <w:highlight w:val="white"/>
                <w:shd w:val="clear" w:color="auto" w:fill="FEFEFE"/>
                <w:vertAlign w:val="subscript"/>
              </w:rPr>
              <w:t>2</w:t>
            </w:r>
          </w:p>
        </w:tc>
        <w:tc>
          <w:tcPr>
            <w:tcW w:w="207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 на 19.07.1999 г., намалява линейно на 1.01.2001 г. и на всеки 12 месеца след това до достигане на 0 % към 1.01.2010 г.</w:t>
            </w:r>
          </w:p>
        </w:tc>
        <w:tc>
          <w:tcPr>
            <w:tcW w:w="206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1.01.2010 г.</w:t>
            </w:r>
          </w:p>
        </w:tc>
      </w:tr>
      <w:tr w:rsidR="00E62D79">
        <w:tblPrEx>
          <w:tblCellMar>
            <w:top w:w="0" w:type="dxa"/>
            <w:bottom w:w="0" w:type="dxa"/>
          </w:tblCellMar>
        </w:tblPrEx>
        <w:trPr>
          <w:trHeight w:val="283"/>
        </w:trPr>
        <w:tc>
          <w:tcPr>
            <w:tcW w:w="2754"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Норма за опазване на растителността (не се прилага в непосредствена близост до източниците)</w:t>
            </w:r>
          </w:p>
        </w:tc>
        <w:tc>
          <w:tcPr>
            <w:tcW w:w="2071"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една календарна година</w:t>
            </w:r>
          </w:p>
        </w:tc>
        <w:tc>
          <w:tcPr>
            <w:tcW w:w="207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(NO+NO</w:t>
            </w:r>
            <w:r>
              <w:rPr>
                <w:rFonts w:ascii="Arial" w:eastAsia="Times New Roman" w:hAnsi="Arial" w:cs="Arial"/>
                <w:highlight w:val="white"/>
                <w:shd w:val="clear" w:color="auto" w:fill="FEFEFE"/>
                <w:vertAlign w:val="subscript"/>
              </w:rPr>
              <w:t>2</w:t>
            </w:r>
            <w:r>
              <w:rPr>
                <w:rFonts w:ascii="Arial" w:eastAsia="Times New Roman" w:hAnsi="Arial" w:cs="Arial"/>
                <w:highlight w:val="white"/>
                <w:shd w:val="clear" w:color="auto" w:fill="FEFEFE"/>
              </w:rPr>
              <w:t>)</w:t>
            </w:r>
          </w:p>
        </w:tc>
        <w:tc>
          <w:tcPr>
            <w:tcW w:w="207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Няма</w:t>
            </w:r>
          </w:p>
        </w:tc>
        <w:tc>
          <w:tcPr>
            <w:tcW w:w="206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11039" w:type="dxa"/>
            <w:gridSpan w:val="5"/>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i/>
                <w:iCs/>
                <w:highlight w:val="white"/>
                <w:shd w:val="clear" w:color="auto" w:fill="FEFEFE"/>
              </w:rPr>
              <w:t xml:space="preserve">Фини </w:t>
            </w:r>
            <w:proofErr w:type="spellStart"/>
            <w:r>
              <w:rPr>
                <w:rFonts w:ascii="Arial" w:eastAsia="Times New Roman" w:hAnsi="Arial" w:cs="Arial"/>
                <w:i/>
                <w:iCs/>
                <w:highlight w:val="white"/>
                <w:shd w:val="clear" w:color="auto" w:fill="FEFEFE"/>
              </w:rPr>
              <w:t>прахови</w:t>
            </w:r>
            <w:proofErr w:type="spellEnd"/>
            <w:r>
              <w:rPr>
                <w:rFonts w:ascii="Arial" w:eastAsia="Times New Roman" w:hAnsi="Arial" w:cs="Arial"/>
                <w:i/>
                <w:iCs/>
                <w:highlight w:val="white"/>
                <w:shd w:val="clear" w:color="auto" w:fill="FEFEFE"/>
              </w:rPr>
              <w:t xml:space="preserve"> частици (ФПЧ</w:t>
            </w:r>
            <w:r>
              <w:rPr>
                <w:rFonts w:ascii="Arial" w:eastAsia="Times New Roman" w:hAnsi="Arial" w:cs="Arial"/>
                <w:i/>
                <w:iCs/>
                <w:highlight w:val="white"/>
                <w:shd w:val="clear" w:color="auto" w:fill="FEFEFE"/>
                <w:vertAlign w:val="subscript"/>
              </w:rPr>
              <w:t>10</w:t>
            </w:r>
            <w:r>
              <w:rPr>
                <w:rFonts w:ascii="Arial" w:eastAsia="Times New Roman" w:hAnsi="Arial" w:cs="Arial"/>
                <w:i/>
                <w:iCs/>
                <w:highlight w:val="white"/>
                <w:shd w:val="clear" w:color="auto" w:fill="FEFEFE"/>
              </w:rPr>
              <w:t>)</w:t>
            </w:r>
          </w:p>
        </w:tc>
      </w:tr>
      <w:tr w:rsidR="00E62D79">
        <w:tblPrEx>
          <w:tblCellMar>
            <w:top w:w="0" w:type="dxa"/>
            <w:bottom w:w="0" w:type="dxa"/>
          </w:tblCellMar>
        </w:tblPrEx>
        <w:trPr>
          <w:trHeight w:val="283"/>
        </w:trPr>
        <w:tc>
          <w:tcPr>
            <w:tcW w:w="2754"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Средноденонощна</w:t>
            </w:r>
            <w:proofErr w:type="spellEnd"/>
            <w:r>
              <w:rPr>
                <w:rFonts w:ascii="Arial" w:eastAsia="Times New Roman" w:hAnsi="Arial" w:cs="Arial"/>
                <w:highlight w:val="white"/>
                <w:shd w:val="clear" w:color="auto" w:fill="FEFEFE"/>
              </w:rPr>
              <w:t xml:space="preserve"> норма за опазване на човешкото здраве</w:t>
            </w:r>
          </w:p>
        </w:tc>
        <w:tc>
          <w:tcPr>
            <w:tcW w:w="207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24 часа</w:t>
            </w:r>
          </w:p>
        </w:tc>
        <w:tc>
          <w:tcPr>
            <w:tcW w:w="2072"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ФПЧ</w:t>
            </w:r>
            <w:r>
              <w:rPr>
                <w:rFonts w:ascii="Arial" w:eastAsia="Times New Roman" w:hAnsi="Arial" w:cs="Arial"/>
                <w:highlight w:val="white"/>
                <w:shd w:val="clear" w:color="auto" w:fill="FEFEFE"/>
                <w:vertAlign w:val="subscript"/>
              </w:rPr>
              <w:t>10 </w:t>
            </w:r>
            <w:r>
              <w:rPr>
                <w:rFonts w:ascii="Arial" w:eastAsia="Times New Roman" w:hAnsi="Arial" w:cs="Arial"/>
                <w:highlight w:val="white"/>
                <w:shd w:val="clear" w:color="auto" w:fill="FEFEFE"/>
              </w:rPr>
              <w:t xml:space="preserve"> (да не бъде превишавана повече от 35 пъти в рамките на една КГ)</w:t>
            </w:r>
          </w:p>
        </w:tc>
        <w:tc>
          <w:tcPr>
            <w:tcW w:w="207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w:t>
            </w:r>
          </w:p>
        </w:tc>
        <w:tc>
          <w:tcPr>
            <w:tcW w:w="206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1.01.2005 г.</w:t>
            </w:r>
          </w:p>
        </w:tc>
      </w:tr>
      <w:tr w:rsidR="00E62D79">
        <w:tblPrEx>
          <w:tblCellMar>
            <w:top w:w="0" w:type="dxa"/>
            <w:bottom w:w="0" w:type="dxa"/>
          </w:tblCellMar>
        </w:tblPrEx>
        <w:trPr>
          <w:trHeight w:val="283"/>
        </w:trPr>
        <w:tc>
          <w:tcPr>
            <w:tcW w:w="2754"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норма за опазване на човешкото здраве</w:t>
            </w:r>
          </w:p>
        </w:tc>
        <w:tc>
          <w:tcPr>
            <w:tcW w:w="2071"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една календарна година</w:t>
            </w:r>
          </w:p>
        </w:tc>
        <w:tc>
          <w:tcPr>
            <w:tcW w:w="2072"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ФПЧ</w:t>
            </w:r>
            <w:r>
              <w:rPr>
                <w:rFonts w:ascii="Arial" w:eastAsia="Times New Roman" w:hAnsi="Arial" w:cs="Arial"/>
                <w:highlight w:val="white"/>
                <w:shd w:val="clear" w:color="auto" w:fill="FEFEFE"/>
                <w:vertAlign w:val="subscript"/>
              </w:rPr>
              <w:t>10</w:t>
            </w:r>
          </w:p>
        </w:tc>
        <w:tc>
          <w:tcPr>
            <w:tcW w:w="2076"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20 %</w:t>
            </w:r>
          </w:p>
        </w:tc>
        <w:tc>
          <w:tcPr>
            <w:tcW w:w="2066"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1.01.2005 г.</w:t>
            </w:r>
          </w:p>
        </w:tc>
      </w:tr>
      <w:tr w:rsidR="00E62D79">
        <w:tblPrEx>
          <w:tblCellMar>
            <w:top w:w="0" w:type="dxa"/>
            <w:bottom w:w="0" w:type="dxa"/>
          </w:tblCellMar>
        </w:tblPrEx>
        <w:trPr>
          <w:trHeight w:val="283"/>
        </w:trPr>
        <w:tc>
          <w:tcPr>
            <w:tcW w:w="11039" w:type="dxa"/>
            <w:gridSpan w:val="5"/>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i/>
                <w:iCs/>
                <w:highlight w:val="white"/>
                <w:shd w:val="clear" w:color="auto" w:fill="FEFEFE"/>
              </w:rPr>
              <w:t xml:space="preserve">Фини </w:t>
            </w:r>
            <w:proofErr w:type="spellStart"/>
            <w:r>
              <w:rPr>
                <w:rFonts w:ascii="Arial" w:eastAsia="Times New Roman" w:hAnsi="Arial" w:cs="Arial"/>
                <w:i/>
                <w:iCs/>
                <w:highlight w:val="white"/>
                <w:shd w:val="clear" w:color="auto" w:fill="FEFEFE"/>
              </w:rPr>
              <w:t>прахови</w:t>
            </w:r>
            <w:proofErr w:type="spellEnd"/>
            <w:r>
              <w:rPr>
                <w:rFonts w:ascii="Arial" w:eastAsia="Times New Roman" w:hAnsi="Arial" w:cs="Arial"/>
                <w:i/>
                <w:iCs/>
                <w:highlight w:val="white"/>
                <w:shd w:val="clear" w:color="auto" w:fill="FEFEFE"/>
              </w:rPr>
              <w:t xml:space="preserve"> частици (ФПЧ</w:t>
            </w:r>
            <w:r>
              <w:rPr>
                <w:rFonts w:ascii="Arial" w:eastAsia="Times New Roman" w:hAnsi="Arial" w:cs="Arial"/>
                <w:i/>
                <w:iCs/>
                <w:highlight w:val="white"/>
                <w:shd w:val="clear" w:color="auto" w:fill="FEFEFE"/>
                <w:vertAlign w:val="subscript"/>
              </w:rPr>
              <w:t>2,5</w:t>
            </w:r>
            <w:r>
              <w:rPr>
                <w:rFonts w:ascii="Arial" w:eastAsia="Times New Roman" w:hAnsi="Arial" w:cs="Arial"/>
                <w:i/>
                <w:iCs/>
                <w:highlight w:val="white"/>
                <w:shd w:val="clear" w:color="auto" w:fill="FEFEFE"/>
              </w:rPr>
              <w:t>)</w:t>
            </w:r>
          </w:p>
        </w:tc>
      </w:tr>
      <w:tr w:rsidR="00E62D79">
        <w:tblPrEx>
          <w:tblCellMar>
            <w:top w:w="0" w:type="dxa"/>
            <w:bottom w:w="0" w:type="dxa"/>
          </w:tblCellMar>
        </w:tblPrEx>
        <w:trPr>
          <w:trHeight w:val="283"/>
        </w:trPr>
        <w:tc>
          <w:tcPr>
            <w:tcW w:w="11039" w:type="dxa"/>
            <w:gridSpan w:val="5"/>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Етап 1</w:t>
            </w:r>
          </w:p>
        </w:tc>
      </w:tr>
      <w:tr w:rsidR="00E62D79">
        <w:tblPrEx>
          <w:tblCellMar>
            <w:top w:w="0" w:type="dxa"/>
            <w:bottom w:w="0" w:type="dxa"/>
          </w:tblCellMar>
        </w:tblPrEx>
        <w:trPr>
          <w:trHeight w:val="283"/>
        </w:trPr>
        <w:tc>
          <w:tcPr>
            <w:tcW w:w="2754"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норма за опазване на човешкото здраве</w:t>
            </w:r>
          </w:p>
        </w:tc>
        <w:tc>
          <w:tcPr>
            <w:tcW w:w="207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една календарна година</w:t>
            </w:r>
          </w:p>
        </w:tc>
        <w:tc>
          <w:tcPr>
            <w:tcW w:w="2072"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25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ФПЧ</w:t>
            </w:r>
            <w:r>
              <w:rPr>
                <w:rFonts w:ascii="Arial" w:eastAsia="Times New Roman" w:hAnsi="Arial" w:cs="Arial"/>
                <w:highlight w:val="white"/>
                <w:shd w:val="clear" w:color="auto" w:fill="FEFEFE"/>
                <w:vertAlign w:val="subscript"/>
              </w:rPr>
              <w:t>2,5</w:t>
            </w:r>
          </w:p>
        </w:tc>
        <w:tc>
          <w:tcPr>
            <w:tcW w:w="207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20 % на 11.06.2008 г., намаляващи линейно на 1.01.2009 г. и на всеки 12 месеца след това, за да достигне 0 % към 1.01.2015 г.</w:t>
            </w:r>
          </w:p>
        </w:tc>
        <w:tc>
          <w:tcPr>
            <w:tcW w:w="206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1.01.2015 г.</w:t>
            </w:r>
          </w:p>
        </w:tc>
      </w:tr>
      <w:tr w:rsidR="00E62D79">
        <w:tblPrEx>
          <w:tblCellMar>
            <w:top w:w="0" w:type="dxa"/>
            <w:bottom w:w="0" w:type="dxa"/>
          </w:tblCellMar>
        </w:tblPrEx>
        <w:trPr>
          <w:trHeight w:val="283"/>
        </w:trPr>
        <w:tc>
          <w:tcPr>
            <w:tcW w:w="11039" w:type="dxa"/>
            <w:gridSpan w:val="5"/>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Етап 2 </w:t>
            </w:r>
            <w:r>
              <w:rPr>
                <w:rFonts w:ascii="Arial" w:eastAsia="Times New Roman" w:hAnsi="Arial" w:cs="Arial"/>
                <w:highlight w:val="white"/>
                <w:shd w:val="clear" w:color="auto" w:fill="FEFEFE"/>
                <w:vertAlign w:val="superscript"/>
              </w:rPr>
              <w:t>(1)</w:t>
            </w:r>
          </w:p>
        </w:tc>
      </w:tr>
      <w:tr w:rsidR="00E62D79">
        <w:tblPrEx>
          <w:tblCellMar>
            <w:top w:w="0" w:type="dxa"/>
            <w:bottom w:w="0" w:type="dxa"/>
          </w:tblCellMar>
        </w:tblPrEx>
        <w:trPr>
          <w:trHeight w:val="283"/>
        </w:trPr>
        <w:tc>
          <w:tcPr>
            <w:tcW w:w="2754"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норма за опазване на човешкото здраве</w:t>
            </w:r>
          </w:p>
        </w:tc>
        <w:tc>
          <w:tcPr>
            <w:tcW w:w="207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една календарна година</w:t>
            </w:r>
          </w:p>
        </w:tc>
        <w:tc>
          <w:tcPr>
            <w:tcW w:w="2072"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ФПЧ</w:t>
            </w:r>
            <w:r>
              <w:rPr>
                <w:rFonts w:ascii="Arial" w:eastAsia="Times New Roman" w:hAnsi="Arial" w:cs="Arial"/>
                <w:highlight w:val="white"/>
                <w:shd w:val="clear" w:color="auto" w:fill="FEFEFE"/>
                <w:vertAlign w:val="subscript"/>
              </w:rPr>
              <w:t>2,5</w:t>
            </w:r>
          </w:p>
        </w:tc>
        <w:tc>
          <w:tcPr>
            <w:tcW w:w="207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206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1.01.2020 г.</w:t>
            </w:r>
          </w:p>
        </w:tc>
      </w:tr>
      <w:tr w:rsidR="00E62D79">
        <w:tblPrEx>
          <w:tblCellMar>
            <w:top w:w="0" w:type="dxa"/>
            <w:bottom w:w="0" w:type="dxa"/>
          </w:tblCellMar>
        </w:tblPrEx>
        <w:trPr>
          <w:trHeight w:val="283"/>
        </w:trPr>
        <w:tc>
          <w:tcPr>
            <w:tcW w:w="11039" w:type="dxa"/>
            <w:gridSpan w:val="5"/>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i/>
                <w:iCs/>
                <w:highlight w:val="white"/>
                <w:shd w:val="clear" w:color="auto" w:fill="FEFEFE"/>
              </w:rPr>
              <w:t>Олово</w:t>
            </w:r>
          </w:p>
        </w:tc>
      </w:tr>
      <w:tr w:rsidR="00E62D79">
        <w:tblPrEx>
          <w:tblCellMar>
            <w:top w:w="0" w:type="dxa"/>
            <w:bottom w:w="0" w:type="dxa"/>
          </w:tblCellMar>
        </w:tblPrEx>
        <w:trPr>
          <w:trHeight w:val="283"/>
        </w:trPr>
        <w:tc>
          <w:tcPr>
            <w:tcW w:w="2754"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норма за опазване на човешкото здраве</w:t>
            </w:r>
          </w:p>
        </w:tc>
        <w:tc>
          <w:tcPr>
            <w:tcW w:w="2071"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една календарна година</w:t>
            </w:r>
          </w:p>
        </w:tc>
        <w:tc>
          <w:tcPr>
            <w:tcW w:w="207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0,5 µg/m</w:t>
            </w:r>
            <w:r>
              <w:rPr>
                <w:rFonts w:ascii="Arial" w:eastAsia="Times New Roman" w:hAnsi="Arial" w:cs="Arial"/>
                <w:highlight w:val="white"/>
                <w:shd w:val="clear" w:color="auto" w:fill="FEFEFE"/>
                <w:vertAlign w:val="superscript"/>
              </w:rPr>
              <w:t>3</w:t>
            </w:r>
          </w:p>
        </w:tc>
        <w:tc>
          <w:tcPr>
            <w:tcW w:w="207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(100 %)</w:t>
            </w:r>
          </w:p>
        </w:tc>
        <w:tc>
          <w:tcPr>
            <w:tcW w:w="206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1.01.2005 г.</w:t>
            </w:r>
          </w:p>
        </w:tc>
      </w:tr>
      <w:tr w:rsidR="00E62D79">
        <w:tblPrEx>
          <w:tblCellMar>
            <w:top w:w="0" w:type="dxa"/>
            <w:bottom w:w="0" w:type="dxa"/>
          </w:tblCellMar>
        </w:tblPrEx>
        <w:trPr>
          <w:trHeight w:val="283"/>
        </w:trPr>
        <w:tc>
          <w:tcPr>
            <w:tcW w:w="11039" w:type="dxa"/>
            <w:gridSpan w:val="5"/>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i/>
                <w:iCs/>
                <w:highlight w:val="white"/>
                <w:shd w:val="clear" w:color="auto" w:fill="FEFEFE"/>
              </w:rPr>
              <w:lastRenderedPageBreak/>
              <w:t>Бензен</w:t>
            </w:r>
            <w:proofErr w:type="spellEnd"/>
          </w:p>
        </w:tc>
      </w:tr>
      <w:tr w:rsidR="00E62D79">
        <w:tblPrEx>
          <w:tblCellMar>
            <w:top w:w="0" w:type="dxa"/>
            <w:bottom w:w="0" w:type="dxa"/>
          </w:tblCellMar>
        </w:tblPrEx>
        <w:trPr>
          <w:trHeight w:val="283"/>
        </w:trPr>
        <w:tc>
          <w:tcPr>
            <w:tcW w:w="2754"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норма за опазване на</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човешкото здраве</w:t>
            </w:r>
          </w:p>
        </w:tc>
        <w:tc>
          <w:tcPr>
            <w:tcW w:w="2071"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една календарна година</w:t>
            </w:r>
          </w:p>
        </w:tc>
        <w:tc>
          <w:tcPr>
            <w:tcW w:w="207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 µg/m</w:t>
            </w:r>
            <w:r>
              <w:rPr>
                <w:rFonts w:ascii="Arial" w:eastAsia="Times New Roman" w:hAnsi="Arial" w:cs="Arial"/>
                <w:highlight w:val="white"/>
                <w:shd w:val="clear" w:color="auto" w:fill="FEFEFE"/>
                <w:vertAlign w:val="superscript"/>
              </w:rPr>
              <w:t>3</w:t>
            </w:r>
          </w:p>
        </w:tc>
        <w:tc>
          <w:tcPr>
            <w:tcW w:w="207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(100 %) на 13.12.2000 г.,</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намалява на 1.01.2006 г. и на всеки 12 месеца след това с 1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до достигане на 0 % към 1.01.2010 г.</w:t>
            </w:r>
          </w:p>
        </w:tc>
        <w:tc>
          <w:tcPr>
            <w:tcW w:w="2066"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1.01.2010 г.</w:t>
            </w:r>
          </w:p>
        </w:tc>
      </w:tr>
      <w:tr w:rsidR="00E62D79">
        <w:tblPrEx>
          <w:tblCellMar>
            <w:top w:w="0" w:type="dxa"/>
            <w:bottom w:w="0" w:type="dxa"/>
          </w:tblCellMar>
        </w:tblPrEx>
        <w:trPr>
          <w:trHeight w:val="283"/>
        </w:trPr>
        <w:tc>
          <w:tcPr>
            <w:tcW w:w="11039" w:type="dxa"/>
            <w:gridSpan w:val="5"/>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i/>
                <w:iCs/>
                <w:highlight w:val="white"/>
                <w:shd w:val="clear" w:color="auto" w:fill="FEFEFE"/>
              </w:rPr>
              <w:t>Въглероден оксид</w:t>
            </w:r>
          </w:p>
        </w:tc>
      </w:tr>
      <w:tr w:rsidR="00E62D79">
        <w:tblPrEx>
          <w:tblCellMar>
            <w:top w:w="0" w:type="dxa"/>
            <w:bottom w:w="0" w:type="dxa"/>
          </w:tblCellMar>
        </w:tblPrEx>
        <w:trPr>
          <w:trHeight w:val="283"/>
        </w:trPr>
        <w:tc>
          <w:tcPr>
            <w:tcW w:w="2754"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Норма за опазване на</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човешкото здраве</w:t>
            </w:r>
          </w:p>
        </w:tc>
        <w:tc>
          <w:tcPr>
            <w:tcW w:w="207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максимална осемчасова средна стойност в рамките на денонощието </w:t>
            </w:r>
            <w:r>
              <w:rPr>
                <w:rFonts w:ascii="Arial" w:eastAsia="Times New Roman" w:hAnsi="Arial" w:cs="Arial"/>
                <w:highlight w:val="white"/>
                <w:shd w:val="clear" w:color="auto" w:fill="FEFEFE"/>
                <w:vertAlign w:val="superscript"/>
              </w:rPr>
              <w:t>(2)</w:t>
            </w:r>
          </w:p>
        </w:tc>
        <w:tc>
          <w:tcPr>
            <w:tcW w:w="2072"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10 </w:t>
            </w:r>
            <w:proofErr w:type="spellStart"/>
            <w:r>
              <w:rPr>
                <w:rFonts w:ascii="Arial" w:eastAsia="Times New Roman" w:hAnsi="Arial" w:cs="Arial"/>
                <w:highlight w:val="white"/>
                <w:shd w:val="clear" w:color="auto" w:fill="FEFEFE"/>
              </w:rPr>
              <w:t>mg</w:t>
            </w:r>
            <w:proofErr w:type="spellEnd"/>
            <w:r>
              <w:rPr>
                <w:rFonts w:ascii="Arial" w:eastAsia="Times New Roman" w:hAnsi="Arial" w:cs="Arial"/>
                <w:highlight w:val="white"/>
                <w:shd w:val="clear" w:color="auto" w:fill="FEFEFE"/>
              </w:rPr>
              <w:t>/m</w:t>
            </w:r>
            <w:r>
              <w:rPr>
                <w:rFonts w:ascii="Arial" w:eastAsia="Times New Roman" w:hAnsi="Arial" w:cs="Arial"/>
                <w:highlight w:val="white"/>
                <w:shd w:val="clear" w:color="auto" w:fill="FEFEFE"/>
                <w:vertAlign w:val="superscript"/>
              </w:rPr>
              <w:t>3</w:t>
            </w:r>
          </w:p>
        </w:tc>
        <w:tc>
          <w:tcPr>
            <w:tcW w:w="207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(60 %)</w:t>
            </w:r>
          </w:p>
        </w:tc>
        <w:tc>
          <w:tcPr>
            <w:tcW w:w="206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1.01.2005 г.</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w:t>
      </w:r>
      <w:proofErr w:type="spellStart"/>
      <w:r>
        <w:rPr>
          <w:rFonts w:eastAsia="Times New Roman"/>
          <w:sz w:val="24"/>
          <w:szCs w:val="24"/>
          <w:highlight w:val="white"/>
          <w:shd w:val="clear" w:color="auto" w:fill="FEFEFE"/>
        </w:rPr>
        <w:t>Eтап</w:t>
      </w:r>
      <w:proofErr w:type="spellEnd"/>
      <w:r>
        <w:rPr>
          <w:rFonts w:eastAsia="Times New Roman"/>
          <w:sz w:val="24"/>
          <w:szCs w:val="24"/>
          <w:highlight w:val="white"/>
          <w:shd w:val="clear" w:color="auto" w:fill="FEFEFE"/>
        </w:rPr>
        <w:t xml:space="preserve"> 2 - индикативна норма, която ще се преразгледа от Комисията през 2013 г. при отчитане на допълнителна информация относно въздействието върху здравето и околната среда, техническата осъществимост и опита с целевите норми в държавите членки.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Максималната осемчасова средна стойност на концентрацията в рамките на едно денонощие се избира след проверка на текущите осемчасови средни стойности, определени въз основа на съответните </w:t>
      </w:r>
      <w:proofErr w:type="spellStart"/>
      <w:r>
        <w:rPr>
          <w:rFonts w:eastAsia="Times New Roman"/>
          <w:sz w:val="24"/>
          <w:szCs w:val="24"/>
          <w:highlight w:val="white"/>
          <w:shd w:val="clear" w:color="auto" w:fill="FEFEFE"/>
        </w:rPr>
        <w:t>средночасови</w:t>
      </w:r>
      <w:proofErr w:type="spellEnd"/>
      <w:r>
        <w:rPr>
          <w:rFonts w:eastAsia="Times New Roman"/>
          <w:sz w:val="24"/>
          <w:szCs w:val="24"/>
          <w:highlight w:val="white"/>
          <w:shd w:val="clear" w:color="auto" w:fill="FEFEFE"/>
        </w:rPr>
        <w:t xml:space="preserve"> стойности и измерени на всеки час. Така изчислените осемчасови средни стойности се отнасят за денонощието, в което приключва обхванатият времеви период, т.е. първият изчислителен период за дадено денонощие започва от 17 ч. на предходния ден и завършва в 1 ч. на същия ден; последният изчислителен период за дадено денонощие започва от 16 ч. и завършва в 24,00 ч.</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4</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Алармени прагове за серен диоксид и азотен диоксид</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3</w:t>
      </w:r>
    </w:p>
    <w:p w:rsidR="00E62D79" w:rsidRDefault="00E62D79">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855"/>
        <w:gridCol w:w="3870"/>
      </w:tblGrid>
      <w:tr w:rsidR="00E62D79" w:rsidTr="003E7B78">
        <w:tblPrEx>
          <w:tblCellMar>
            <w:top w:w="0" w:type="dxa"/>
            <w:bottom w:w="0" w:type="dxa"/>
          </w:tblCellMar>
        </w:tblPrEx>
        <w:tc>
          <w:tcPr>
            <w:tcW w:w="385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Замърсител</w:t>
            </w:r>
          </w:p>
        </w:tc>
        <w:tc>
          <w:tcPr>
            <w:tcW w:w="387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Алармен праг</w:t>
            </w:r>
          </w:p>
        </w:tc>
      </w:tr>
      <w:tr w:rsidR="00E62D79" w:rsidTr="003E7B78">
        <w:tblPrEx>
          <w:tblCellMar>
            <w:top w:w="0" w:type="dxa"/>
            <w:bottom w:w="0" w:type="dxa"/>
          </w:tblCellMar>
        </w:tblPrEx>
        <w:tc>
          <w:tcPr>
            <w:tcW w:w="385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Серен диоксид</w:t>
            </w:r>
          </w:p>
        </w:tc>
        <w:tc>
          <w:tcPr>
            <w:tcW w:w="387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vertAlign w:val="superscript"/>
              </w:rPr>
              <w:t>(1)</w:t>
            </w:r>
          </w:p>
        </w:tc>
      </w:tr>
      <w:tr w:rsidR="00E62D79" w:rsidTr="003E7B78">
        <w:tblPrEx>
          <w:tblCellMar>
            <w:top w:w="0" w:type="dxa"/>
            <w:bottom w:w="0" w:type="dxa"/>
          </w:tblCellMar>
        </w:tblPrEx>
        <w:tc>
          <w:tcPr>
            <w:tcW w:w="385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Азотен диоксид</w:t>
            </w:r>
          </w:p>
        </w:tc>
        <w:tc>
          <w:tcPr>
            <w:tcW w:w="387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400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vertAlign w:val="superscript"/>
              </w:rPr>
              <w:t>(1)</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Измерени през три последователни часа в пунктове за мониторинг, които са представителни за качеството на въздуха в не по-малко от 100 km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или целия район или агломерация, в зависимост от това коя от посочените територии е най-малка.</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5, 6, 7, чл. 18, ал. 1 и чл. 19, ал. 1</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Норми за озон</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Определения и изисквания за обобщаване на данните и статистическите параметри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АОТ40 (изразен в 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xml:space="preserve">.h) - представлява сумата от разликите между стойностите на </w:t>
      </w:r>
      <w:proofErr w:type="spellStart"/>
      <w:r>
        <w:rPr>
          <w:rFonts w:eastAsia="Times New Roman"/>
          <w:sz w:val="24"/>
          <w:szCs w:val="24"/>
          <w:highlight w:val="white"/>
          <w:shd w:val="clear" w:color="auto" w:fill="FEFEFE"/>
        </w:rPr>
        <w:t>средночасовите</w:t>
      </w:r>
      <w:proofErr w:type="spellEnd"/>
      <w:r>
        <w:rPr>
          <w:rFonts w:eastAsia="Times New Roman"/>
          <w:sz w:val="24"/>
          <w:szCs w:val="24"/>
          <w:highlight w:val="white"/>
          <w:shd w:val="clear" w:color="auto" w:fill="FEFEFE"/>
        </w:rPr>
        <w:t xml:space="preserve"> концентрации над 80 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xml:space="preserve"> (=40 </w:t>
      </w:r>
      <w:proofErr w:type="spellStart"/>
      <w:r>
        <w:rPr>
          <w:rFonts w:eastAsia="Times New Roman"/>
          <w:sz w:val="24"/>
          <w:szCs w:val="24"/>
          <w:highlight w:val="white"/>
          <w:shd w:val="clear" w:color="auto" w:fill="FEFEFE"/>
        </w:rPr>
        <w:t>ppb</w:t>
      </w:r>
      <w:proofErr w:type="spellEnd"/>
      <w:r>
        <w:rPr>
          <w:rFonts w:eastAsia="Times New Roman"/>
          <w:sz w:val="24"/>
          <w:szCs w:val="24"/>
          <w:highlight w:val="white"/>
          <w:shd w:val="clear" w:color="auto" w:fill="FEFEFE"/>
        </w:rPr>
        <w:t>) и 80 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xml:space="preserve"> за определен период при </w:t>
      </w:r>
      <w:r>
        <w:rPr>
          <w:rFonts w:eastAsia="Times New Roman"/>
          <w:sz w:val="24"/>
          <w:szCs w:val="24"/>
          <w:highlight w:val="white"/>
          <w:shd w:val="clear" w:color="auto" w:fill="FEFEFE"/>
        </w:rPr>
        <w:lastRenderedPageBreak/>
        <w:t>използване само на стойностите, измерени за дадено денонощие на всеки час между 8 и 20 ч. централноевропейско време (ЦЕВ).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проверка на валидността при обобщаването на данните и изчисляване на статистическите параметри се използват следните критерии:</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4</w:t>
      </w:r>
    </w:p>
    <w:p w:rsidR="00E62D79" w:rsidRDefault="00E62D79">
      <w:pPr>
        <w:rPr>
          <w:rFonts w:eastAsia="Times New Roman"/>
          <w:sz w:val="24"/>
          <w:szCs w:val="24"/>
          <w:highlight w:val="white"/>
          <w:shd w:val="clear" w:color="auto" w:fill="FEFEFE"/>
        </w:rPr>
      </w:pPr>
    </w:p>
    <w:tbl>
      <w:tblPr>
        <w:tblW w:w="9495" w:type="dxa"/>
        <w:tblInd w:w="20" w:type="dxa"/>
        <w:tblLayout w:type="fixed"/>
        <w:tblCellMar>
          <w:left w:w="15" w:type="dxa"/>
          <w:right w:w="15" w:type="dxa"/>
        </w:tblCellMar>
        <w:tblLook w:val="0000" w:firstRow="0" w:lastRow="0" w:firstColumn="0" w:lastColumn="0" w:noHBand="0" w:noVBand="0"/>
      </w:tblPr>
      <w:tblGrid>
        <w:gridCol w:w="4503"/>
        <w:gridCol w:w="4992"/>
      </w:tblGrid>
      <w:tr w:rsidR="00E62D79">
        <w:tblPrEx>
          <w:tblCellMar>
            <w:top w:w="0" w:type="dxa"/>
            <w:bottom w:w="0" w:type="dxa"/>
          </w:tblCellMar>
        </w:tblPrEx>
        <w:trPr>
          <w:trHeight w:val="283"/>
        </w:trPr>
        <w:tc>
          <w:tcPr>
            <w:tcW w:w="4503"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Параметър</w:t>
            </w:r>
          </w:p>
        </w:tc>
        <w:tc>
          <w:tcPr>
            <w:tcW w:w="4992"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Изискван минимум валидни данни</w:t>
            </w:r>
          </w:p>
        </w:tc>
      </w:tr>
      <w:tr w:rsidR="00E62D79">
        <w:tblPrEx>
          <w:tblCellMar>
            <w:top w:w="0" w:type="dxa"/>
            <w:bottom w:w="0" w:type="dxa"/>
          </w:tblCellMar>
        </w:tblPrEx>
        <w:trPr>
          <w:trHeight w:val="283"/>
        </w:trPr>
        <w:tc>
          <w:tcPr>
            <w:tcW w:w="4503"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Средночасова</w:t>
            </w:r>
            <w:proofErr w:type="spellEnd"/>
            <w:r>
              <w:rPr>
                <w:rFonts w:ascii="Arial" w:eastAsia="Times New Roman" w:hAnsi="Arial" w:cs="Arial"/>
                <w:highlight w:val="white"/>
                <w:shd w:val="clear" w:color="auto" w:fill="FEFEFE"/>
              </w:rPr>
              <w:t xml:space="preserve"> стойност</w:t>
            </w:r>
          </w:p>
        </w:tc>
        <w:tc>
          <w:tcPr>
            <w:tcW w:w="4992"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75 % (т.е. 45 минути)</w:t>
            </w:r>
          </w:p>
        </w:tc>
      </w:tr>
      <w:tr w:rsidR="00E62D79">
        <w:tblPrEx>
          <w:tblCellMar>
            <w:top w:w="0" w:type="dxa"/>
            <w:bottom w:w="0" w:type="dxa"/>
          </w:tblCellMar>
        </w:tblPrEx>
        <w:trPr>
          <w:trHeight w:val="283"/>
        </w:trPr>
        <w:tc>
          <w:tcPr>
            <w:tcW w:w="4503"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8-часови стойности</w:t>
            </w:r>
          </w:p>
        </w:tc>
        <w:tc>
          <w:tcPr>
            <w:tcW w:w="4992"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75 % от стойностите (т.е. 6 часа)</w:t>
            </w:r>
          </w:p>
        </w:tc>
      </w:tr>
      <w:tr w:rsidR="00E62D79">
        <w:tblPrEx>
          <w:tblCellMar>
            <w:top w:w="0" w:type="dxa"/>
            <w:bottom w:w="0" w:type="dxa"/>
          </w:tblCellMar>
        </w:tblPrEx>
        <w:trPr>
          <w:trHeight w:val="283"/>
        </w:trPr>
        <w:tc>
          <w:tcPr>
            <w:tcW w:w="4503"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Максимална 8-часова средна стойност в рамките на денонощието от почасовите текущи 8-часови стойности</w:t>
            </w:r>
          </w:p>
        </w:tc>
        <w:tc>
          <w:tcPr>
            <w:tcW w:w="4992"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75 % от почасовите текущи 8-часови средни стойности (т.е. 18 от 24-те възможни 8-часови средни стойности за деня)</w:t>
            </w:r>
          </w:p>
        </w:tc>
      </w:tr>
      <w:tr w:rsidR="00E62D79">
        <w:tblPrEx>
          <w:tblCellMar>
            <w:top w:w="0" w:type="dxa"/>
            <w:bottom w:w="0" w:type="dxa"/>
          </w:tblCellMar>
        </w:tblPrEx>
        <w:trPr>
          <w:trHeight w:val="283"/>
        </w:trPr>
        <w:tc>
          <w:tcPr>
            <w:tcW w:w="4503"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АОТ40</w:t>
            </w:r>
          </w:p>
        </w:tc>
        <w:tc>
          <w:tcPr>
            <w:tcW w:w="499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90 % от едночасовите стойности за периода от време, предвиден за изчисляване стойността на АОТ40 </w:t>
            </w:r>
            <w:r>
              <w:rPr>
                <w:rFonts w:ascii="Arial" w:eastAsia="Times New Roman" w:hAnsi="Arial" w:cs="Arial"/>
                <w:highlight w:val="white"/>
                <w:shd w:val="clear" w:color="auto" w:fill="FEFEFE"/>
                <w:vertAlign w:val="superscript"/>
              </w:rPr>
              <w:t>(1)</w:t>
            </w:r>
          </w:p>
        </w:tc>
      </w:tr>
      <w:tr w:rsidR="00E62D79">
        <w:tblPrEx>
          <w:tblCellMar>
            <w:top w:w="0" w:type="dxa"/>
            <w:bottom w:w="0" w:type="dxa"/>
          </w:tblCellMar>
        </w:tblPrEx>
        <w:trPr>
          <w:trHeight w:val="283"/>
        </w:trPr>
        <w:tc>
          <w:tcPr>
            <w:tcW w:w="4503"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стойност</w:t>
            </w:r>
          </w:p>
        </w:tc>
        <w:tc>
          <w:tcPr>
            <w:tcW w:w="499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75 % от </w:t>
            </w:r>
            <w:proofErr w:type="spellStart"/>
            <w:r>
              <w:rPr>
                <w:rFonts w:ascii="Arial" w:eastAsia="Times New Roman" w:hAnsi="Arial" w:cs="Arial"/>
                <w:highlight w:val="white"/>
                <w:shd w:val="clear" w:color="auto" w:fill="FEFEFE"/>
              </w:rPr>
              <w:t>средночасовите</w:t>
            </w:r>
            <w:proofErr w:type="spellEnd"/>
            <w:r>
              <w:rPr>
                <w:rFonts w:ascii="Arial" w:eastAsia="Times New Roman" w:hAnsi="Arial" w:cs="Arial"/>
                <w:highlight w:val="white"/>
                <w:shd w:val="clear" w:color="auto" w:fill="FEFEFE"/>
              </w:rPr>
              <w:t xml:space="preserve"> стойности за лятото (от април до септември) и за зимата (от януари до март и от октомври до декември), взети поотделно</w:t>
            </w:r>
          </w:p>
        </w:tc>
      </w:tr>
      <w:tr w:rsidR="00E62D79">
        <w:tblPrEx>
          <w:tblCellMar>
            <w:top w:w="0" w:type="dxa"/>
            <w:bottom w:w="0" w:type="dxa"/>
          </w:tblCellMar>
        </w:tblPrEx>
        <w:trPr>
          <w:trHeight w:val="283"/>
        </w:trPr>
        <w:tc>
          <w:tcPr>
            <w:tcW w:w="4503"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Брой на </w:t>
            </w:r>
            <w:proofErr w:type="spellStart"/>
            <w:r>
              <w:rPr>
                <w:rFonts w:ascii="Arial" w:eastAsia="Times New Roman" w:hAnsi="Arial" w:cs="Arial"/>
                <w:highlight w:val="white"/>
                <w:shd w:val="clear" w:color="auto" w:fill="FEFEFE"/>
              </w:rPr>
              <w:t>превишенията</w:t>
            </w:r>
            <w:proofErr w:type="spellEnd"/>
            <w:r>
              <w:rPr>
                <w:rFonts w:ascii="Arial" w:eastAsia="Times New Roman" w:hAnsi="Arial" w:cs="Arial"/>
                <w:highlight w:val="white"/>
                <w:shd w:val="clear" w:color="auto" w:fill="FEFEFE"/>
              </w:rPr>
              <w:t xml:space="preserve"> и на максималните стойности за месец</w:t>
            </w:r>
          </w:p>
        </w:tc>
        <w:tc>
          <w:tcPr>
            <w:tcW w:w="499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90 % от максималните 8-часови средни стойности в рамките на денонощието (27 налични дневни стойности за един месец) 90 % от едночасовите стойности между 8 и 20 ч. ЦЕВ</w:t>
            </w:r>
          </w:p>
        </w:tc>
      </w:tr>
      <w:tr w:rsidR="00E62D79">
        <w:tblPrEx>
          <w:tblCellMar>
            <w:top w:w="0" w:type="dxa"/>
            <w:bottom w:w="0" w:type="dxa"/>
          </w:tblCellMar>
        </w:tblPrEx>
        <w:trPr>
          <w:trHeight w:val="283"/>
        </w:trPr>
        <w:tc>
          <w:tcPr>
            <w:tcW w:w="4503"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Брой на </w:t>
            </w:r>
            <w:proofErr w:type="spellStart"/>
            <w:r>
              <w:rPr>
                <w:rFonts w:ascii="Arial" w:eastAsia="Times New Roman" w:hAnsi="Arial" w:cs="Arial"/>
                <w:highlight w:val="white"/>
                <w:shd w:val="clear" w:color="auto" w:fill="FEFEFE"/>
              </w:rPr>
              <w:t>превишенията</w:t>
            </w:r>
            <w:proofErr w:type="spellEnd"/>
            <w:r>
              <w:rPr>
                <w:rFonts w:ascii="Arial" w:eastAsia="Times New Roman" w:hAnsi="Arial" w:cs="Arial"/>
                <w:highlight w:val="white"/>
                <w:shd w:val="clear" w:color="auto" w:fill="FEFEFE"/>
              </w:rPr>
              <w:t xml:space="preserve"> и на максималните стойности за година</w:t>
            </w:r>
          </w:p>
        </w:tc>
        <w:tc>
          <w:tcPr>
            <w:tcW w:w="4992"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Пет от шест месеца през летния сезон (от април до септември вкл.)</w:t>
            </w:r>
          </w:p>
        </w:tc>
      </w:tr>
    </w:tbl>
    <w:p w:rsidR="00E62D79" w:rsidRDefault="00E62D79">
      <w:pPr>
        <w:rPr>
          <w:rFonts w:eastAsia="Times New Roman"/>
          <w:sz w:val="24"/>
          <w:szCs w:val="24"/>
          <w:highlight w:val="white"/>
          <w:shd w:val="clear" w:color="auto" w:fill="FEFEFE"/>
        </w:rPr>
      </w:pPr>
      <w:r>
        <w:rPr>
          <w:rFonts w:eastAsia="Times New Roman"/>
          <w:sz w:val="24"/>
          <w:szCs w:val="24"/>
          <w:highlight w:val="white"/>
          <w:shd w:val="clear" w:color="auto" w:fill="FEFEFE"/>
        </w:rPr>
        <w:br/>
      </w:r>
      <w:r>
        <w:rPr>
          <w:rFonts w:eastAsia="Times New Roman"/>
          <w:sz w:val="24"/>
          <w:szCs w:val="24"/>
          <w:highlight w:val="white"/>
          <w:shd w:val="clear" w:color="auto" w:fill="FEFEFE"/>
        </w:rPr>
        <w:br/>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В случаите, когато не са налични всички възможни данни от измервания, при изчисляването на стойностите на АОТ40 се използва следният фактор:</w:t>
      </w:r>
    </w:p>
    <w:p w:rsidR="00E62D79" w:rsidRDefault="00E62D79">
      <w:pPr>
        <w:rPr>
          <w:rFonts w:eastAsia="Times New Roman"/>
          <w:sz w:val="24"/>
          <w:szCs w:val="24"/>
          <w:highlight w:val="white"/>
          <w:shd w:val="clear" w:color="auto" w:fill="FEFEFE"/>
        </w:rPr>
      </w:pPr>
    </w:p>
    <w:p w:rsidR="00E62D79" w:rsidRDefault="003E7B78">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095875" cy="828675"/>
            <wp:effectExtent l="0" t="0" r="9525" b="9525"/>
            <wp:docPr id="1" name="Picture 1" descr="C:\Users\RKandilarova\AppData\Local\Ciela Norma AD\Ciela51\Cache\1b2a56d53f983cd50befee1ab4c29a736dd07e355a30c83a372e9a7ef5b57484_normi2135691821\71_26911889_dv2010_br058_str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ndilarova\AppData\Local\Ciela Norma AD\Ciela51\Cache\1b2a56d53f983cd50befee1ab4c29a736dd07e355a30c83a372e9a7ef5b57484_normi2135691821\71_26911889_dv2010_br058_str38.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095875" cy="828675"/>
                    </a:xfrm>
                    <a:prstGeom prst="rect">
                      <a:avLst/>
                    </a:prstGeom>
                    <a:noFill/>
                    <a:ln>
                      <a:noFill/>
                    </a:ln>
                  </pic:spPr>
                </pic:pic>
              </a:graphicData>
            </a:graphic>
          </wp:inline>
        </w:drawing>
      </w:r>
      <w:r w:rsidR="00E62D79">
        <w:rPr>
          <w:rFonts w:eastAsia="Times New Roman"/>
          <w:sz w:val="24"/>
          <w:szCs w:val="24"/>
          <w:highlight w:val="white"/>
          <w:shd w:val="clear" w:color="auto" w:fill="FEFEFE"/>
        </w:rPr>
        <w:t xml:space="preserve"> </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където "общ възможен брой часове" означава броя на часовете, попадащи във времевия период, определен за АОТ40 (т.е. от 8 до 20 ч. ЦЕВ от 1 май до 31 юли всяка година за опазване на растителността и от 1 април до 30 септември всяка година за опазване на горите).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 Краткосрочни целеви норми (КЦН) и горни оценъчни прагове (ГОП)</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5</w:t>
      </w:r>
    </w:p>
    <w:p w:rsidR="00E62D79" w:rsidRDefault="00E62D79">
      <w:pPr>
        <w:rPr>
          <w:rFonts w:eastAsia="Times New Roman"/>
          <w:sz w:val="24"/>
          <w:szCs w:val="24"/>
          <w:highlight w:val="white"/>
          <w:shd w:val="clear" w:color="auto" w:fill="FEFEFE"/>
        </w:rPr>
      </w:pPr>
    </w:p>
    <w:tbl>
      <w:tblPr>
        <w:tblW w:w="0" w:type="auto"/>
        <w:tblInd w:w="20" w:type="dxa"/>
        <w:tblLayout w:type="fixed"/>
        <w:tblCellMar>
          <w:left w:w="15" w:type="dxa"/>
          <w:right w:w="15" w:type="dxa"/>
        </w:tblCellMar>
        <w:tblLook w:val="0000" w:firstRow="0" w:lastRow="0" w:firstColumn="0" w:lastColumn="0" w:noHBand="0" w:noVBand="0"/>
      </w:tblPr>
      <w:tblGrid>
        <w:gridCol w:w="2228"/>
        <w:gridCol w:w="2498"/>
        <w:gridCol w:w="2187"/>
        <w:gridCol w:w="2143"/>
      </w:tblGrid>
      <w:tr w:rsidR="00E62D79">
        <w:tblPrEx>
          <w:tblCellMar>
            <w:top w:w="0" w:type="dxa"/>
            <w:bottom w:w="0" w:type="dxa"/>
          </w:tblCellMar>
        </w:tblPrEx>
        <w:trPr>
          <w:trHeight w:val="283"/>
        </w:trPr>
        <w:tc>
          <w:tcPr>
            <w:tcW w:w="2228"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Норма</w:t>
            </w:r>
          </w:p>
        </w:tc>
        <w:tc>
          <w:tcPr>
            <w:tcW w:w="249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Период на осредняване</w:t>
            </w:r>
          </w:p>
        </w:tc>
        <w:tc>
          <w:tcPr>
            <w:tcW w:w="2187"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Стойност</w:t>
            </w:r>
          </w:p>
        </w:tc>
        <w:tc>
          <w:tcPr>
            <w:tcW w:w="214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Дата, към която КЦН следва да бъде спазена </w:t>
            </w:r>
            <w:r>
              <w:rPr>
                <w:rFonts w:ascii="Arial" w:eastAsia="Times New Roman" w:hAnsi="Arial" w:cs="Arial"/>
                <w:highlight w:val="white"/>
                <w:shd w:val="clear" w:color="auto" w:fill="FEFEFE"/>
                <w:vertAlign w:val="superscript"/>
              </w:rPr>
              <w:t>(1)</w:t>
            </w:r>
          </w:p>
        </w:tc>
      </w:tr>
      <w:tr w:rsidR="00E62D79">
        <w:tblPrEx>
          <w:tblCellMar>
            <w:top w:w="0" w:type="dxa"/>
            <w:bottom w:w="0" w:type="dxa"/>
          </w:tblCellMar>
        </w:tblPrEx>
        <w:trPr>
          <w:trHeight w:val="283"/>
        </w:trPr>
        <w:tc>
          <w:tcPr>
            <w:tcW w:w="2228"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КЦН/ГОП за опазване на човешкото здраве</w:t>
            </w:r>
          </w:p>
        </w:tc>
        <w:tc>
          <w:tcPr>
            <w:tcW w:w="249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Максимална 8-часова средна стойност в рамките на денонощието </w:t>
            </w:r>
            <w:r>
              <w:rPr>
                <w:rFonts w:ascii="Arial" w:eastAsia="Times New Roman" w:hAnsi="Arial" w:cs="Arial"/>
                <w:highlight w:val="white"/>
                <w:shd w:val="clear" w:color="auto" w:fill="FEFEFE"/>
                <w:vertAlign w:val="superscript"/>
              </w:rPr>
              <w:t>(2)</w:t>
            </w:r>
          </w:p>
        </w:tc>
        <w:tc>
          <w:tcPr>
            <w:tcW w:w="2187"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120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да не се превишава в повече от 25 дни на календарна година, осреднено за тригодишен период </w:t>
            </w:r>
            <w:r>
              <w:rPr>
                <w:rFonts w:ascii="Arial" w:eastAsia="Times New Roman" w:hAnsi="Arial" w:cs="Arial"/>
                <w:highlight w:val="white"/>
                <w:shd w:val="clear" w:color="auto" w:fill="FEFEFE"/>
                <w:vertAlign w:val="superscript"/>
              </w:rPr>
              <w:t>(3)</w:t>
            </w:r>
          </w:p>
        </w:tc>
        <w:tc>
          <w:tcPr>
            <w:tcW w:w="214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1.01.2010 г.</w:t>
            </w:r>
          </w:p>
        </w:tc>
      </w:tr>
      <w:tr w:rsidR="00E62D79">
        <w:tblPrEx>
          <w:tblCellMar>
            <w:top w:w="0" w:type="dxa"/>
            <w:bottom w:w="0" w:type="dxa"/>
          </w:tblCellMar>
        </w:tblPrEx>
        <w:trPr>
          <w:trHeight w:val="283"/>
        </w:trPr>
        <w:tc>
          <w:tcPr>
            <w:tcW w:w="2228"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lastRenderedPageBreak/>
              <w:t>КЦН/ГОП за опазване на растителността</w:t>
            </w:r>
          </w:p>
        </w:tc>
        <w:tc>
          <w:tcPr>
            <w:tcW w:w="2498"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АОТ40 (изчислен от </w:t>
            </w:r>
            <w:proofErr w:type="spellStart"/>
            <w:r>
              <w:rPr>
                <w:rFonts w:ascii="Arial" w:eastAsia="Times New Roman" w:hAnsi="Arial" w:cs="Arial"/>
                <w:highlight w:val="white"/>
                <w:shd w:val="clear" w:color="auto" w:fill="FEFEFE"/>
              </w:rPr>
              <w:t>средночасовите</w:t>
            </w:r>
            <w:proofErr w:type="spellEnd"/>
            <w:r>
              <w:rPr>
                <w:rFonts w:ascii="Arial" w:eastAsia="Times New Roman" w:hAnsi="Arial" w:cs="Arial"/>
                <w:highlight w:val="white"/>
                <w:shd w:val="clear" w:color="auto" w:fill="FEFEFE"/>
              </w:rPr>
              <w:t xml:space="preserve"> стойности) за периода от май до юли</w:t>
            </w:r>
          </w:p>
        </w:tc>
        <w:tc>
          <w:tcPr>
            <w:tcW w:w="2187"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18 000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.h, осреднено за петгодишен период </w:t>
            </w:r>
            <w:r>
              <w:rPr>
                <w:rFonts w:ascii="Arial" w:eastAsia="Times New Roman" w:hAnsi="Arial" w:cs="Arial"/>
                <w:highlight w:val="white"/>
                <w:shd w:val="clear" w:color="auto" w:fill="FEFEFE"/>
                <w:vertAlign w:val="superscript"/>
              </w:rPr>
              <w:t>(3)</w:t>
            </w:r>
          </w:p>
        </w:tc>
        <w:tc>
          <w:tcPr>
            <w:tcW w:w="2143"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1.01.2010 г.</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Съответствието с КЦН се оценява от 1.01.2010 г., т.е. 2010 г. е първата календарна година, данните за която се използват за изчисляване на съответствието за следващите три или пет календарни години.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Максималната 8-часова средна стойност на концентрацията в рамките на денонощието се избира след проверка на 24-те текущи 8-часови средни стойности, определени въз основа на съответните </w:t>
      </w:r>
      <w:proofErr w:type="spellStart"/>
      <w:r>
        <w:rPr>
          <w:rFonts w:eastAsia="Times New Roman"/>
          <w:sz w:val="24"/>
          <w:szCs w:val="24"/>
          <w:highlight w:val="white"/>
          <w:shd w:val="clear" w:color="auto" w:fill="FEFEFE"/>
        </w:rPr>
        <w:t>средночасови</w:t>
      </w:r>
      <w:proofErr w:type="spellEnd"/>
      <w:r>
        <w:rPr>
          <w:rFonts w:eastAsia="Times New Roman"/>
          <w:sz w:val="24"/>
          <w:szCs w:val="24"/>
          <w:highlight w:val="white"/>
          <w:shd w:val="clear" w:color="auto" w:fill="FEFEFE"/>
        </w:rPr>
        <w:t xml:space="preserve"> стойности и измерени на всеки час. Всяка 8-часова средна стойност, изчислена по този начин, се отнася за денонощието, в което приключва обхванатият времеви период, т.е. първият изчислителен период за определено денонощие започва в 17 ч. предходния ден и свършва в 1 ч. същия ден; последният изчислителен период за определено денонощие започва в 16 ч. и завършва в 24 ч. същия ден.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xml:space="preserve"> В случаите, когато осреднените стойности за три или пет години не могат да бъдат определени въз основа на наличен цялостен и последователен набор от данни за съответните годишни периоди, проверката за съответствието с целевите стойности се извършва въз основа на: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валидни данни за едногодишен период - за КЦН/ГОП за опазване на човешкото здраве;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валидни данни за тригодишен период - за КЦН/ГОП за опазване на растителността.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ІІІ. Дългосрочни целеви норми (ДЦН) и долни оценъчни прагове (ДОП)</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6</w:t>
      </w:r>
    </w:p>
    <w:p w:rsidR="00E62D79" w:rsidRDefault="00E62D79">
      <w:pPr>
        <w:rPr>
          <w:rFonts w:eastAsia="Times New Roman"/>
          <w:sz w:val="24"/>
          <w:szCs w:val="24"/>
          <w:highlight w:val="white"/>
          <w:shd w:val="clear" w:color="auto" w:fill="FEFEFE"/>
        </w:rPr>
      </w:pPr>
    </w:p>
    <w:tbl>
      <w:tblPr>
        <w:tblW w:w="0" w:type="auto"/>
        <w:tblInd w:w="20" w:type="dxa"/>
        <w:tblLayout w:type="fixed"/>
        <w:tblCellMar>
          <w:left w:w="15" w:type="dxa"/>
          <w:right w:w="15" w:type="dxa"/>
        </w:tblCellMar>
        <w:tblLook w:val="0000" w:firstRow="0" w:lastRow="0" w:firstColumn="0" w:lastColumn="0" w:noHBand="0" w:noVBand="0"/>
      </w:tblPr>
      <w:tblGrid>
        <w:gridCol w:w="2181"/>
        <w:gridCol w:w="2431"/>
        <w:gridCol w:w="2113"/>
        <w:gridCol w:w="2331"/>
      </w:tblGrid>
      <w:tr w:rsidR="00E62D79">
        <w:tblPrEx>
          <w:tblCellMar>
            <w:top w:w="0" w:type="dxa"/>
            <w:bottom w:w="0" w:type="dxa"/>
          </w:tblCellMar>
        </w:tblPrEx>
        <w:trPr>
          <w:trHeight w:val="283"/>
        </w:trPr>
        <w:tc>
          <w:tcPr>
            <w:tcW w:w="2181"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Норма</w:t>
            </w:r>
          </w:p>
        </w:tc>
        <w:tc>
          <w:tcPr>
            <w:tcW w:w="2431"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Период на осредняване</w:t>
            </w:r>
          </w:p>
        </w:tc>
        <w:tc>
          <w:tcPr>
            <w:tcW w:w="211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Стойност</w:t>
            </w:r>
          </w:p>
        </w:tc>
        <w:tc>
          <w:tcPr>
            <w:tcW w:w="2331"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Дата, към която ДЦН следва да бъде постигната</w:t>
            </w:r>
          </w:p>
        </w:tc>
      </w:tr>
      <w:tr w:rsidR="00E62D79">
        <w:tblPrEx>
          <w:tblCellMar>
            <w:top w:w="0" w:type="dxa"/>
            <w:bottom w:w="0" w:type="dxa"/>
          </w:tblCellMar>
        </w:tblPrEx>
        <w:trPr>
          <w:trHeight w:val="283"/>
        </w:trPr>
        <w:tc>
          <w:tcPr>
            <w:tcW w:w="2181"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ДЦН/ДОП за опазване на човешкото здраве</w:t>
            </w:r>
          </w:p>
        </w:tc>
        <w:tc>
          <w:tcPr>
            <w:tcW w:w="2431"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Максимална 8-часова средна стойност в рамките на денонощието</w:t>
            </w:r>
          </w:p>
        </w:tc>
        <w:tc>
          <w:tcPr>
            <w:tcW w:w="2113"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120 µg/m</w:t>
            </w:r>
            <w:r>
              <w:rPr>
                <w:rFonts w:ascii="Arial" w:eastAsia="Times New Roman" w:hAnsi="Arial" w:cs="Arial"/>
                <w:highlight w:val="white"/>
                <w:shd w:val="clear" w:color="auto" w:fill="FEFEFE"/>
                <w:vertAlign w:val="superscript"/>
              </w:rPr>
              <w:t>3</w:t>
            </w:r>
          </w:p>
        </w:tc>
        <w:tc>
          <w:tcPr>
            <w:tcW w:w="2331"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Не е определена</w:t>
            </w:r>
          </w:p>
        </w:tc>
      </w:tr>
      <w:tr w:rsidR="00E62D79">
        <w:tblPrEx>
          <w:tblCellMar>
            <w:top w:w="0" w:type="dxa"/>
            <w:bottom w:w="0" w:type="dxa"/>
          </w:tblCellMar>
        </w:tblPrEx>
        <w:trPr>
          <w:trHeight w:val="283"/>
        </w:trPr>
        <w:tc>
          <w:tcPr>
            <w:tcW w:w="2181"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ДЦН/ДОП за опазване на растителността</w:t>
            </w:r>
          </w:p>
        </w:tc>
        <w:tc>
          <w:tcPr>
            <w:tcW w:w="243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АОТ40 (изчислен от </w:t>
            </w:r>
            <w:proofErr w:type="spellStart"/>
            <w:r>
              <w:rPr>
                <w:rFonts w:ascii="Arial" w:eastAsia="Times New Roman" w:hAnsi="Arial" w:cs="Arial"/>
                <w:highlight w:val="white"/>
                <w:shd w:val="clear" w:color="auto" w:fill="FEFEFE"/>
              </w:rPr>
              <w:t>средночасовите</w:t>
            </w:r>
            <w:proofErr w:type="spellEnd"/>
            <w:r>
              <w:rPr>
                <w:rFonts w:ascii="Arial" w:eastAsia="Times New Roman" w:hAnsi="Arial" w:cs="Arial"/>
                <w:highlight w:val="white"/>
                <w:shd w:val="clear" w:color="auto" w:fill="FEFEFE"/>
              </w:rPr>
              <w:t xml:space="preserve"> стойности) за периода от май до юли вкл.</w:t>
            </w:r>
          </w:p>
        </w:tc>
        <w:tc>
          <w:tcPr>
            <w:tcW w:w="2113"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6000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.h, осреднено за петгодишен период</w:t>
            </w:r>
          </w:p>
        </w:tc>
        <w:tc>
          <w:tcPr>
            <w:tcW w:w="233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Не е определена</w:t>
            </w:r>
          </w:p>
        </w:tc>
      </w:tr>
    </w:tbl>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4 към чл. 8, ал. 1</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Информационен и алармен праг за нивата на озон</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7</w:t>
      </w:r>
    </w:p>
    <w:p w:rsidR="00E62D79" w:rsidRDefault="00E62D79">
      <w:pPr>
        <w:rPr>
          <w:rFonts w:eastAsia="Times New Roman"/>
          <w:sz w:val="24"/>
          <w:szCs w:val="24"/>
          <w:highlight w:val="white"/>
          <w:shd w:val="clear" w:color="auto" w:fill="FEFEFE"/>
        </w:rPr>
      </w:pPr>
    </w:p>
    <w:tbl>
      <w:tblPr>
        <w:tblW w:w="0" w:type="auto"/>
        <w:tblInd w:w="20" w:type="dxa"/>
        <w:tblLayout w:type="fixed"/>
        <w:tblCellMar>
          <w:left w:w="15" w:type="dxa"/>
          <w:right w:w="15" w:type="dxa"/>
        </w:tblCellMar>
        <w:tblLook w:val="0000" w:firstRow="0" w:lastRow="0" w:firstColumn="0" w:lastColumn="0" w:noHBand="0" w:noVBand="0"/>
      </w:tblPr>
      <w:tblGrid>
        <w:gridCol w:w="2978"/>
        <w:gridCol w:w="2983"/>
        <w:gridCol w:w="3095"/>
      </w:tblGrid>
      <w:tr w:rsidR="00E62D79">
        <w:tblPrEx>
          <w:tblCellMar>
            <w:top w:w="0" w:type="dxa"/>
            <w:bottom w:w="0" w:type="dxa"/>
          </w:tblCellMar>
        </w:tblPrEx>
        <w:trPr>
          <w:trHeight w:val="283"/>
        </w:trPr>
        <w:tc>
          <w:tcPr>
            <w:tcW w:w="2978"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Праг</w:t>
            </w:r>
          </w:p>
        </w:tc>
        <w:tc>
          <w:tcPr>
            <w:tcW w:w="2983"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Период на осредняване</w:t>
            </w:r>
          </w:p>
        </w:tc>
        <w:tc>
          <w:tcPr>
            <w:tcW w:w="3095"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Стойност</w:t>
            </w:r>
          </w:p>
        </w:tc>
      </w:tr>
      <w:tr w:rsidR="00E62D79">
        <w:tblPrEx>
          <w:tblCellMar>
            <w:top w:w="0" w:type="dxa"/>
            <w:bottom w:w="0" w:type="dxa"/>
          </w:tblCellMar>
        </w:tblPrEx>
        <w:trPr>
          <w:trHeight w:val="283"/>
        </w:trPr>
        <w:tc>
          <w:tcPr>
            <w:tcW w:w="2978"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Праг за информиране на населението (ПИН)</w:t>
            </w:r>
          </w:p>
        </w:tc>
        <w:tc>
          <w:tcPr>
            <w:tcW w:w="2983"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час</w:t>
            </w:r>
          </w:p>
        </w:tc>
        <w:tc>
          <w:tcPr>
            <w:tcW w:w="309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180 µg/m</w:t>
            </w:r>
            <w:r>
              <w:rPr>
                <w:rFonts w:ascii="Arial" w:eastAsia="Times New Roman" w:hAnsi="Arial" w:cs="Arial"/>
                <w:highlight w:val="white"/>
                <w:shd w:val="clear" w:color="auto" w:fill="FEFEFE"/>
                <w:vertAlign w:val="superscript"/>
              </w:rPr>
              <w:t>3</w:t>
            </w:r>
          </w:p>
        </w:tc>
      </w:tr>
      <w:tr w:rsidR="00E62D79">
        <w:tblPrEx>
          <w:tblCellMar>
            <w:top w:w="0" w:type="dxa"/>
            <w:bottom w:w="0" w:type="dxa"/>
          </w:tblCellMar>
        </w:tblPrEx>
        <w:trPr>
          <w:trHeight w:val="283"/>
        </w:trPr>
        <w:tc>
          <w:tcPr>
            <w:tcW w:w="2978"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Праг за предупреждаване на населението (ППН)</w:t>
            </w:r>
          </w:p>
        </w:tc>
        <w:tc>
          <w:tcPr>
            <w:tcW w:w="2983"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1 час </w:t>
            </w:r>
            <w:r>
              <w:rPr>
                <w:rFonts w:ascii="Arial" w:eastAsia="Times New Roman" w:hAnsi="Arial" w:cs="Arial"/>
                <w:highlight w:val="white"/>
                <w:shd w:val="clear" w:color="auto" w:fill="FEFEFE"/>
                <w:vertAlign w:val="superscript"/>
              </w:rPr>
              <w:t>(1)</w:t>
            </w:r>
          </w:p>
        </w:tc>
        <w:tc>
          <w:tcPr>
            <w:tcW w:w="3095"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240 µg/m</w:t>
            </w:r>
            <w:r>
              <w:rPr>
                <w:rFonts w:ascii="Arial" w:eastAsia="Times New Roman" w:hAnsi="Arial" w:cs="Arial"/>
                <w:highlight w:val="white"/>
                <w:shd w:val="clear" w:color="auto" w:fill="FEFEFE"/>
                <w:vertAlign w:val="superscript"/>
              </w:rPr>
              <w:t>3</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За изпълнението на чл. 39, ал. 3 превишаването на прага трябва да се измерва или прогнозира в продължение на три последователни часа.</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5 към чл. 9</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Определяне на изисквания за оценка на нивата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 в рамките на определен район или агломерация</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Горни и долни оценъчни прагове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Серен диоксид</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8</w:t>
      </w:r>
    </w:p>
    <w:p w:rsidR="00E62D79" w:rsidRDefault="00E62D79">
      <w:pPr>
        <w:rPr>
          <w:rFonts w:eastAsia="Times New Roman"/>
          <w:sz w:val="24"/>
          <w:szCs w:val="24"/>
          <w:highlight w:val="white"/>
          <w:shd w:val="clear" w:color="auto" w:fill="FEFEFE"/>
        </w:rPr>
      </w:pPr>
    </w:p>
    <w:tbl>
      <w:tblPr>
        <w:tblW w:w="10335" w:type="dxa"/>
        <w:tblInd w:w="20" w:type="dxa"/>
        <w:tblLayout w:type="fixed"/>
        <w:tblCellMar>
          <w:left w:w="15" w:type="dxa"/>
          <w:right w:w="15" w:type="dxa"/>
        </w:tblCellMar>
        <w:tblLook w:val="0000" w:firstRow="0" w:lastRow="0" w:firstColumn="0" w:lastColumn="0" w:noHBand="0" w:noVBand="0"/>
      </w:tblPr>
      <w:tblGrid>
        <w:gridCol w:w="3352"/>
        <w:gridCol w:w="3531"/>
        <w:gridCol w:w="3452"/>
      </w:tblGrid>
      <w:tr w:rsidR="00E62D79">
        <w:tblPrEx>
          <w:tblCellMar>
            <w:top w:w="0" w:type="dxa"/>
            <w:bottom w:w="0" w:type="dxa"/>
          </w:tblCellMar>
        </w:tblPrEx>
        <w:trPr>
          <w:trHeight w:val="283"/>
        </w:trPr>
        <w:tc>
          <w:tcPr>
            <w:tcW w:w="3352"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Оценъчен праг</w:t>
            </w:r>
          </w:p>
        </w:tc>
        <w:tc>
          <w:tcPr>
            <w:tcW w:w="3531"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Средноденонощна</w:t>
            </w:r>
            <w:proofErr w:type="spellEnd"/>
            <w:r>
              <w:rPr>
                <w:rFonts w:ascii="Arial" w:eastAsia="Times New Roman" w:hAnsi="Arial" w:cs="Arial"/>
                <w:highlight w:val="white"/>
                <w:shd w:val="clear" w:color="auto" w:fill="FEFEFE"/>
              </w:rPr>
              <w:t xml:space="preserve"> стойност за опазване на човешкото здраве</w:t>
            </w:r>
          </w:p>
        </w:tc>
        <w:tc>
          <w:tcPr>
            <w:tcW w:w="345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Стойност за опазване на растителността</w:t>
            </w:r>
          </w:p>
        </w:tc>
      </w:tr>
      <w:tr w:rsidR="00E62D79">
        <w:tblPrEx>
          <w:tblCellMar>
            <w:top w:w="0" w:type="dxa"/>
            <w:bottom w:w="0" w:type="dxa"/>
          </w:tblCellMar>
        </w:tblPrEx>
        <w:trPr>
          <w:trHeight w:val="283"/>
        </w:trPr>
        <w:tc>
          <w:tcPr>
            <w:tcW w:w="3352"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Горен</w:t>
            </w:r>
          </w:p>
        </w:tc>
        <w:tc>
          <w:tcPr>
            <w:tcW w:w="3531"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60 % от </w:t>
            </w:r>
            <w:proofErr w:type="spellStart"/>
            <w:r>
              <w:rPr>
                <w:rFonts w:ascii="Arial" w:eastAsia="Times New Roman" w:hAnsi="Arial" w:cs="Arial"/>
                <w:highlight w:val="white"/>
                <w:shd w:val="clear" w:color="auto" w:fill="FEFEFE"/>
              </w:rPr>
              <w:t>средноденонощната</w:t>
            </w:r>
            <w:proofErr w:type="spellEnd"/>
            <w:r>
              <w:rPr>
                <w:rFonts w:ascii="Arial" w:eastAsia="Times New Roman" w:hAnsi="Arial" w:cs="Arial"/>
                <w:highlight w:val="white"/>
                <w:shd w:val="clear" w:color="auto" w:fill="FEFEFE"/>
              </w:rPr>
              <w:t xml:space="preserve"> норма (75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 да не бъде превишавана повече от 3 пъти за една календарна година (КГ)</w:t>
            </w:r>
          </w:p>
        </w:tc>
        <w:tc>
          <w:tcPr>
            <w:tcW w:w="3452"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60 % от зимната норма (12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3352"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Долен</w:t>
            </w:r>
          </w:p>
        </w:tc>
        <w:tc>
          <w:tcPr>
            <w:tcW w:w="353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40 % от </w:t>
            </w:r>
            <w:proofErr w:type="spellStart"/>
            <w:r>
              <w:rPr>
                <w:rFonts w:ascii="Arial" w:eastAsia="Times New Roman" w:hAnsi="Arial" w:cs="Arial"/>
                <w:highlight w:val="white"/>
                <w:shd w:val="clear" w:color="auto" w:fill="FEFEFE"/>
              </w:rPr>
              <w:t>средноденонощната</w:t>
            </w:r>
            <w:proofErr w:type="spellEnd"/>
            <w:r>
              <w:rPr>
                <w:rFonts w:ascii="Arial" w:eastAsia="Times New Roman" w:hAnsi="Arial" w:cs="Arial"/>
                <w:highlight w:val="white"/>
                <w:shd w:val="clear" w:color="auto" w:fill="FEFEFE"/>
              </w:rPr>
              <w:t xml:space="preserve"> норма (50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 да не бъде превишавана повече от 3 пъти за една КГ)</w:t>
            </w:r>
          </w:p>
        </w:tc>
        <w:tc>
          <w:tcPr>
            <w:tcW w:w="3452"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40 % от зимната норма (8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Азотен диоксид и азотни оксиди</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9</w:t>
      </w:r>
    </w:p>
    <w:p w:rsidR="00E62D79" w:rsidRDefault="00E62D79">
      <w:pPr>
        <w:rPr>
          <w:rFonts w:eastAsia="Times New Roman"/>
          <w:sz w:val="24"/>
          <w:szCs w:val="24"/>
          <w:highlight w:val="white"/>
          <w:shd w:val="clear" w:color="auto" w:fill="FEFEFE"/>
        </w:rPr>
      </w:pPr>
    </w:p>
    <w:tbl>
      <w:tblPr>
        <w:tblW w:w="10680" w:type="dxa"/>
        <w:tblInd w:w="20" w:type="dxa"/>
        <w:tblLayout w:type="fixed"/>
        <w:tblCellMar>
          <w:left w:w="15" w:type="dxa"/>
          <w:right w:w="15" w:type="dxa"/>
        </w:tblCellMar>
        <w:tblLook w:val="0000" w:firstRow="0" w:lastRow="0" w:firstColumn="0" w:lastColumn="0" w:noHBand="0" w:noVBand="0"/>
      </w:tblPr>
      <w:tblGrid>
        <w:gridCol w:w="2334"/>
        <w:gridCol w:w="2734"/>
        <w:gridCol w:w="2806"/>
        <w:gridCol w:w="2806"/>
      </w:tblGrid>
      <w:tr w:rsidR="00E62D79">
        <w:tblPrEx>
          <w:tblCellMar>
            <w:top w:w="0" w:type="dxa"/>
            <w:bottom w:w="0" w:type="dxa"/>
          </w:tblCellMar>
        </w:tblPrEx>
        <w:trPr>
          <w:trHeight w:val="283"/>
        </w:trPr>
        <w:tc>
          <w:tcPr>
            <w:tcW w:w="2335"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Оценъчен праг</w:t>
            </w:r>
          </w:p>
        </w:tc>
        <w:tc>
          <w:tcPr>
            <w:tcW w:w="2734"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Средночасова</w:t>
            </w:r>
            <w:proofErr w:type="spellEnd"/>
            <w:r>
              <w:rPr>
                <w:rFonts w:ascii="Arial" w:eastAsia="Times New Roman" w:hAnsi="Arial" w:cs="Arial"/>
                <w:highlight w:val="white"/>
                <w:shd w:val="clear" w:color="auto" w:fill="FEFEFE"/>
              </w:rPr>
              <w:t xml:space="preserve"> стойност за опазване на човешкото здраве (NO</w:t>
            </w:r>
            <w:r>
              <w:rPr>
                <w:rFonts w:ascii="Arial" w:eastAsia="Times New Roman" w:hAnsi="Arial" w:cs="Arial"/>
                <w:highlight w:val="white"/>
                <w:shd w:val="clear" w:color="auto" w:fill="FEFEFE"/>
                <w:vertAlign w:val="subscript"/>
              </w:rPr>
              <w:t>2</w:t>
            </w:r>
            <w:r>
              <w:rPr>
                <w:rFonts w:ascii="Arial" w:eastAsia="Times New Roman" w:hAnsi="Arial" w:cs="Arial"/>
                <w:highlight w:val="white"/>
                <w:shd w:val="clear" w:color="auto" w:fill="FEFEFE"/>
              </w:rPr>
              <w:t>)</w:t>
            </w:r>
          </w:p>
        </w:tc>
        <w:tc>
          <w:tcPr>
            <w:tcW w:w="2806"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стойност за опазване на човешкото здраве (NO</w:t>
            </w:r>
            <w:r>
              <w:rPr>
                <w:rFonts w:ascii="Arial" w:eastAsia="Times New Roman" w:hAnsi="Arial" w:cs="Arial"/>
                <w:highlight w:val="white"/>
                <w:shd w:val="clear" w:color="auto" w:fill="FEFEFE"/>
                <w:vertAlign w:val="subscript"/>
              </w:rPr>
              <w:t>2</w:t>
            </w:r>
            <w:r>
              <w:rPr>
                <w:rFonts w:ascii="Arial" w:eastAsia="Times New Roman" w:hAnsi="Arial" w:cs="Arial"/>
                <w:highlight w:val="white"/>
                <w:shd w:val="clear" w:color="auto" w:fill="FEFEFE"/>
              </w:rPr>
              <w:t>)</w:t>
            </w:r>
          </w:p>
        </w:tc>
        <w:tc>
          <w:tcPr>
            <w:tcW w:w="2806"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стойност за опазване на растителността и природните екосистеми (NO + NO</w:t>
            </w:r>
            <w:r>
              <w:rPr>
                <w:rFonts w:ascii="Arial" w:eastAsia="Times New Roman" w:hAnsi="Arial" w:cs="Arial"/>
                <w:highlight w:val="white"/>
                <w:shd w:val="clear" w:color="auto" w:fill="FEFEFE"/>
                <w:vertAlign w:val="subscript"/>
              </w:rPr>
              <w:t>2</w:t>
            </w: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2335"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Горен</w:t>
            </w:r>
          </w:p>
        </w:tc>
        <w:tc>
          <w:tcPr>
            <w:tcW w:w="2734"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70 % от нормата (140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 да не бъде превишавана повече от 18 пъти за една КГ)</w:t>
            </w:r>
          </w:p>
        </w:tc>
        <w:tc>
          <w:tcPr>
            <w:tcW w:w="280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80 % от нормата (32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c>
          <w:tcPr>
            <w:tcW w:w="280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80 % от нормата (24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2335"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Долен</w:t>
            </w:r>
          </w:p>
        </w:tc>
        <w:tc>
          <w:tcPr>
            <w:tcW w:w="2734"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 от нормата (100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 да не бъде превишавана повече от 18 пъти за една КГ)</w:t>
            </w:r>
          </w:p>
        </w:tc>
        <w:tc>
          <w:tcPr>
            <w:tcW w:w="2806"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65 % от нормата (26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c>
          <w:tcPr>
            <w:tcW w:w="2806"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65 % от нормата (19,5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Фини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10</w:t>
      </w:r>
    </w:p>
    <w:p w:rsidR="00E62D79" w:rsidRDefault="00E62D79">
      <w:pPr>
        <w:rPr>
          <w:rFonts w:eastAsia="Times New Roman"/>
          <w:sz w:val="24"/>
          <w:szCs w:val="24"/>
          <w:highlight w:val="white"/>
          <w:shd w:val="clear" w:color="auto" w:fill="FEFEFE"/>
        </w:rPr>
      </w:pPr>
    </w:p>
    <w:tbl>
      <w:tblPr>
        <w:tblW w:w="9840" w:type="dxa"/>
        <w:tblInd w:w="20" w:type="dxa"/>
        <w:tblLayout w:type="fixed"/>
        <w:tblCellMar>
          <w:left w:w="15" w:type="dxa"/>
          <w:right w:w="15" w:type="dxa"/>
        </w:tblCellMar>
        <w:tblLook w:val="0000" w:firstRow="0" w:lastRow="0" w:firstColumn="0" w:lastColumn="0" w:noHBand="0" w:noVBand="0"/>
      </w:tblPr>
      <w:tblGrid>
        <w:gridCol w:w="2179"/>
        <w:gridCol w:w="2683"/>
        <w:gridCol w:w="2369"/>
        <w:gridCol w:w="2609"/>
      </w:tblGrid>
      <w:tr w:rsidR="00E62D79">
        <w:tblPrEx>
          <w:tblCellMar>
            <w:top w:w="0" w:type="dxa"/>
            <w:bottom w:w="0" w:type="dxa"/>
          </w:tblCellMar>
        </w:tblPrEx>
        <w:trPr>
          <w:trHeight w:val="283"/>
        </w:trPr>
        <w:tc>
          <w:tcPr>
            <w:tcW w:w="2180"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Оценъчен праг</w:t>
            </w:r>
          </w:p>
        </w:tc>
        <w:tc>
          <w:tcPr>
            <w:tcW w:w="268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Средноденонощна</w:t>
            </w:r>
            <w:proofErr w:type="spellEnd"/>
            <w:r>
              <w:rPr>
                <w:rFonts w:ascii="Arial" w:eastAsia="Times New Roman" w:hAnsi="Arial" w:cs="Arial"/>
                <w:highlight w:val="white"/>
                <w:shd w:val="clear" w:color="auto" w:fill="FEFEFE"/>
              </w:rPr>
              <w:t xml:space="preserve"> стойност (ФПЧ</w:t>
            </w:r>
            <w:r>
              <w:rPr>
                <w:rFonts w:ascii="Arial" w:eastAsia="Times New Roman" w:hAnsi="Arial" w:cs="Arial"/>
                <w:highlight w:val="white"/>
                <w:shd w:val="clear" w:color="auto" w:fill="FEFEFE"/>
                <w:vertAlign w:val="subscript"/>
              </w:rPr>
              <w:t>10</w:t>
            </w:r>
            <w:r>
              <w:rPr>
                <w:rFonts w:ascii="Arial" w:eastAsia="Times New Roman" w:hAnsi="Arial" w:cs="Arial"/>
                <w:highlight w:val="white"/>
                <w:shd w:val="clear" w:color="auto" w:fill="FEFEFE"/>
              </w:rPr>
              <w:t>)</w:t>
            </w:r>
          </w:p>
        </w:tc>
        <w:tc>
          <w:tcPr>
            <w:tcW w:w="2369"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стойност (ФПЧ</w:t>
            </w:r>
            <w:r>
              <w:rPr>
                <w:rFonts w:ascii="Arial" w:eastAsia="Times New Roman" w:hAnsi="Arial" w:cs="Arial"/>
                <w:highlight w:val="white"/>
                <w:shd w:val="clear" w:color="auto" w:fill="FEFEFE"/>
                <w:vertAlign w:val="subscript"/>
              </w:rPr>
              <w:t>10</w:t>
            </w:r>
            <w:r>
              <w:rPr>
                <w:rFonts w:ascii="Arial" w:eastAsia="Times New Roman" w:hAnsi="Arial" w:cs="Arial"/>
                <w:highlight w:val="white"/>
                <w:shd w:val="clear" w:color="auto" w:fill="FEFEFE"/>
              </w:rPr>
              <w:t>)</w:t>
            </w:r>
          </w:p>
        </w:tc>
        <w:tc>
          <w:tcPr>
            <w:tcW w:w="2609"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стойност (ФПЧ</w:t>
            </w:r>
            <w:r>
              <w:rPr>
                <w:rFonts w:ascii="Arial" w:eastAsia="Times New Roman" w:hAnsi="Arial" w:cs="Arial"/>
                <w:highlight w:val="white"/>
                <w:shd w:val="clear" w:color="auto" w:fill="FEFEFE"/>
                <w:vertAlign w:val="subscript"/>
              </w:rPr>
              <w:t>2,5</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vertAlign w:val="superscript"/>
              </w:rPr>
              <w:t>(1)</w:t>
            </w:r>
          </w:p>
        </w:tc>
      </w:tr>
      <w:tr w:rsidR="00E62D79">
        <w:tblPrEx>
          <w:tblCellMar>
            <w:top w:w="0" w:type="dxa"/>
            <w:bottom w:w="0" w:type="dxa"/>
          </w:tblCellMar>
        </w:tblPrEx>
        <w:trPr>
          <w:trHeight w:val="283"/>
        </w:trPr>
        <w:tc>
          <w:tcPr>
            <w:tcW w:w="2180"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Горен</w:t>
            </w:r>
          </w:p>
        </w:tc>
        <w:tc>
          <w:tcPr>
            <w:tcW w:w="268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70 % от нормата (35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 да не бъде превишавана повече от 35 пъти за една КГ)</w:t>
            </w:r>
          </w:p>
        </w:tc>
        <w:tc>
          <w:tcPr>
            <w:tcW w:w="2369"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70 % от нормата (28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c>
          <w:tcPr>
            <w:tcW w:w="2609"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70 % от нормата (17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2180"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Долен</w:t>
            </w:r>
          </w:p>
        </w:tc>
        <w:tc>
          <w:tcPr>
            <w:tcW w:w="2683"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 от нормата (25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 xml:space="preserve"> - да не бъде превишавана повече от 35 пъти за една КГ)</w:t>
            </w:r>
          </w:p>
        </w:tc>
        <w:tc>
          <w:tcPr>
            <w:tcW w:w="2369"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 от нормата (20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c>
          <w:tcPr>
            <w:tcW w:w="2609"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 от нормата (12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Горният и долният оценъчен праг за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не се прилагат за измерванията за оценяване на съответствието с целта за ограничаване на експозицията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за опазване на човешкото здраве.</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Олово</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11</w:t>
      </w:r>
    </w:p>
    <w:p w:rsidR="00E62D79" w:rsidRDefault="00E62D79">
      <w:pPr>
        <w:rPr>
          <w:rFonts w:eastAsia="Times New Roman"/>
          <w:sz w:val="24"/>
          <w:szCs w:val="24"/>
          <w:highlight w:val="white"/>
          <w:shd w:val="clear" w:color="auto" w:fill="FEFEFE"/>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500"/>
        <w:gridCol w:w="4695"/>
      </w:tblGrid>
      <w:tr w:rsidR="00E62D79" w:rsidTr="003E7B78">
        <w:tblPrEx>
          <w:tblCellMar>
            <w:top w:w="0" w:type="dxa"/>
            <w:bottom w:w="0" w:type="dxa"/>
          </w:tblCellMar>
        </w:tblPrEx>
        <w:tc>
          <w:tcPr>
            <w:tcW w:w="450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Оценъчен праг</w:t>
            </w:r>
          </w:p>
        </w:tc>
        <w:tc>
          <w:tcPr>
            <w:tcW w:w="469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стойност</w:t>
            </w:r>
          </w:p>
        </w:tc>
      </w:tr>
      <w:tr w:rsidR="00E62D79" w:rsidTr="003E7B78">
        <w:tblPrEx>
          <w:tblCellMar>
            <w:top w:w="0" w:type="dxa"/>
            <w:bottom w:w="0" w:type="dxa"/>
          </w:tblCellMar>
        </w:tblPrEx>
        <w:tc>
          <w:tcPr>
            <w:tcW w:w="450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Горен</w:t>
            </w:r>
          </w:p>
        </w:tc>
        <w:tc>
          <w:tcPr>
            <w:tcW w:w="469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70 % от нормата (0,35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r w:rsidR="00E62D79" w:rsidTr="003E7B78">
        <w:tblPrEx>
          <w:tblCellMar>
            <w:top w:w="0" w:type="dxa"/>
            <w:bottom w:w="0" w:type="dxa"/>
          </w:tblCellMar>
        </w:tblPrEx>
        <w:tc>
          <w:tcPr>
            <w:tcW w:w="450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Долен</w:t>
            </w:r>
          </w:p>
        </w:tc>
        <w:tc>
          <w:tcPr>
            <w:tcW w:w="469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 от нормата (0,25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proofErr w:type="spellStart"/>
      <w:r>
        <w:rPr>
          <w:rFonts w:eastAsia="Times New Roman"/>
          <w:sz w:val="24"/>
          <w:szCs w:val="24"/>
          <w:highlight w:val="white"/>
          <w:shd w:val="clear" w:color="auto" w:fill="FEFEFE"/>
        </w:rPr>
        <w:t>Бензен</w:t>
      </w:r>
      <w:proofErr w:type="spellEnd"/>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12</w:t>
      </w:r>
    </w:p>
    <w:p w:rsidR="00E62D79" w:rsidRDefault="00E62D79">
      <w:pPr>
        <w:rPr>
          <w:rFonts w:eastAsia="Times New Roman"/>
          <w:sz w:val="24"/>
          <w:szCs w:val="24"/>
          <w:highlight w:val="white"/>
          <w:shd w:val="clear" w:color="auto" w:fill="FEFEFE"/>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500"/>
        <w:gridCol w:w="4695"/>
      </w:tblGrid>
      <w:tr w:rsidR="00E62D79" w:rsidTr="003E7B78">
        <w:tblPrEx>
          <w:tblCellMar>
            <w:top w:w="0" w:type="dxa"/>
            <w:bottom w:w="0" w:type="dxa"/>
          </w:tblCellMar>
        </w:tblPrEx>
        <w:tc>
          <w:tcPr>
            <w:tcW w:w="450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Оценъчен праг</w:t>
            </w:r>
          </w:p>
        </w:tc>
        <w:tc>
          <w:tcPr>
            <w:tcW w:w="469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Средногодишна стойност</w:t>
            </w:r>
          </w:p>
        </w:tc>
      </w:tr>
      <w:tr w:rsidR="00E62D79" w:rsidTr="003E7B78">
        <w:tblPrEx>
          <w:tblCellMar>
            <w:top w:w="0" w:type="dxa"/>
            <w:bottom w:w="0" w:type="dxa"/>
          </w:tblCellMar>
        </w:tblPrEx>
        <w:tc>
          <w:tcPr>
            <w:tcW w:w="450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Горен</w:t>
            </w:r>
          </w:p>
        </w:tc>
        <w:tc>
          <w:tcPr>
            <w:tcW w:w="469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70 % от нормата (3,5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r w:rsidR="00E62D79" w:rsidTr="003E7B78">
        <w:tblPrEx>
          <w:tblCellMar>
            <w:top w:w="0" w:type="dxa"/>
            <w:bottom w:w="0" w:type="dxa"/>
          </w:tblCellMar>
        </w:tblPrEx>
        <w:tc>
          <w:tcPr>
            <w:tcW w:w="450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Долен</w:t>
            </w:r>
          </w:p>
        </w:tc>
        <w:tc>
          <w:tcPr>
            <w:tcW w:w="469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40 % от нормата (2 µg/m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Въглероден оксид</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13</w:t>
      </w:r>
    </w:p>
    <w:p w:rsidR="00E62D79" w:rsidRDefault="00E62D79">
      <w:pPr>
        <w:rPr>
          <w:rFonts w:eastAsia="Times New Roman"/>
          <w:sz w:val="24"/>
          <w:szCs w:val="24"/>
          <w:highlight w:val="white"/>
          <w:shd w:val="clear" w:color="auto" w:fill="FEFEFE"/>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500"/>
        <w:gridCol w:w="4695"/>
      </w:tblGrid>
      <w:tr w:rsidR="00E62D79" w:rsidTr="003E7B78">
        <w:tblPrEx>
          <w:tblCellMar>
            <w:top w:w="0" w:type="dxa"/>
            <w:bottom w:w="0" w:type="dxa"/>
          </w:tblCellMar>
        </w:tblPrEx>
        <w:tc>
          <w:tcPr>
            <w:tcW w:w="450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Оценъчен праг</w:t>
            </w:r>
          </w:p>
        </w:tc>
        <w:tc>
          <w:tcPr>
            <w:tcW w:w="469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Осемчасова средна стойност</w:t>
            </w:r>
          </w:p>
        </w:tc>
      </w:tr>
      <w:tr w:rsidR="00E62D79" w:rsidTr="003E7B78">
        <w:tblPrEx>
          <w:tblCellMar>
            <w:top w:w="0" w:type="dxa"/>
            <w:bottom w:w="0" w:type="dxa"/>
          </w:tblCellMar>
        </w:tblPrEx>
        <w:tc>
          <w:tcPr>
            <w:tcW w:w="450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Горен</w:t>
            </w:r>
          </w:p>
        </w:tc>
        <w:tc>
          <w:tcPr>
            <w:tcW w:w="469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70 % от нормата (7 </w:t>
            </w:r>
            <w:proofErr w:type="spellStart"/>
            <w:r>
              <w:rPr>
                <w:rFonts w:ascii="Arial" w:eastAsia="Times New Roman" w:hAnsi="Arial" w:cs="Arial"/>
                <w:highlight w:val="white"/>
                <w:shd w:val="clear" w:color="auto" w:fill="FEFEFE"/>
              </w:rPr>
              <w:t>mg</w:t>
            </w:r>
            <w:proofErr w:type="spellEnd"/>
            <w:r>
              <w:rPr>
                <w:rFonts w:ascii="Arial" w:eastAsia="Times New Roman" w:hAnsi="Arial" w:cs="Arial"/>
                <w:highlight w:val="white"/>
                <w:shd w:val="clear" w:color="auto" w:fill="FEFEFE"/>
              </w:rPr>
              <w:t>/m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r w:rsidR="00E62D79" w:rsidTr="003E7B78">
        <w:tblPrEx>
          <w:tblCellMar>
            <w:top w:w="0" w:type="dxa"/>
            <w:bottom w:w="0" w:type="dxa"/>
          </w:tblCellMar>
        </w:tblPrEx>
        <w:tc>
          <w:tcPr>
            <w:tcW w:w="4500"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Долен</w:t>
            </w:r>
          </w:p>
        </w:tc>
        <w:tc>
          <w:tcPr>
            <w:tcW w:w="4695" w:type="dxa"/>
            <w:shd w:val="clear" w:color="auto" w:fill="FEFEFE"/>
            <w:vAlign w:val="center"/>
          </w:tcPr>
          <w:p w:rsidR="00E62D79" w:rsidRDefault="00E62D79">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50 % от нормата (5 </w:t>
            </w:r>
            <w:proofErr w:type="spellStart"/>
            <w:r>
              <w:rPr>
                <w:rFonts w:ascii="Arial" w:eastAsia="Times New Roman" w:hAnsi="Arial" w:cs="Arial"/>
                <w:highlight w:val="white"/>
                <w:shd w:val="clear" w:color="auto" w:fill="FEFEFE"/>
              </w:rPr>
              <w:t>mg</w:t>
            </w:r>
            <w:proofErr w:type="spellEnd"/>
            <w:r>
              <w:rPr>
                <w:rFonts w:ascii="Arial" w:eastAsia="Times New Roman" w:hAnsi="Arial" w:cs="Arial"/>
                <w:highlight w:val="white"/>
                <w:shd w:val="clear" w:color="auto" w:fill="FEFEFE"/>
              </w:rPr>
              <w:t>/m</w:t>
            </w:r>
            <w:r>
              <w:rPr>
                <w:rFonts w:ascii="Arial" w:eastAsia="Times New Roman" w:hAnsi="Arial" w:cs="Arial"/>
                <w:highlight w:val="white"/>
                <w:shd w:val="clear" w:color="auto" w:fill="FEFEFE"/>
                <w:vertAlign w:val="superscript"/>
              </w:rPr>
              <w:t>3</w:t>
            </w:r>
            <w:r>
              <w:rPr>
                <w:rFonts w:ascii="Arial" w:eastAsia="Times New Roman" w:hAnsi="Arial" w:cs="Arial"/>
                <w:highlight w:val="white"/>
                <w:shd w:val="clear" w:color="auto" w:fill="FEFEFE"/>
              </w:rPr>
              <w:t>)</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ІІ. Определяне на </w:t>
      </w:r>
      <w:proofErr w:type="spellStart"/>
      <w:r>
        <w:rPr>
          <w:rFonts w:eastAsia="Times New Roman"/>
          <w:sz w:val="24"/>
          <w:szCs w:val="24"/>
          <w:highlight w:val="white"/>
          <w:shd w:val="clear" w:color="auto" w:fill="FEFEFE"/>
        </w:rPr>
        <w:t>превишенията</w:t>
      </w:r>
      <w:proofErr w:type="spellEnd"/>
      <w:r>
        <w:rPr>
          <w:rFonts w:eastAsia="Times New Roman"/>
          <w:sz w:val="24"/>
          <w:szCs w:val="24"/>
          <w:highlight w:val="white"/>
          <w:shd w:val="clear" w:color="auto" w:fill="FEFEFE"/>
        </w:rPr>
        <w:t xml:space="preserve"> на горния и долния оценъчен праг</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 условие че са налице достатъчно представителни и достоверни данни за целта, превишаванията на горния и долния оценъчен праг се определят въз основа на концентрациите през предходните пет години. Оценъчният праг се смята за превишен, ако е бил превишаван най-малко през три отделни години от предходните пет години.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В случаите когато има налични данни за по-малко от пет години, </w:t>
      </w:r>
      <w:proofErr w:type="spellStart"/>
      <w:r>
        <w:rPr>
          <w:rFonts w:eastAsia="Times New Roman"/>
          <w:sz w:val="24"/>
          <w:szCs w:val="24"/>
          <w:highlight w:val="white"/>
          <w:shd w:val="clear" w:color="auto" w:fill="FEFEFE"/>
        </w:rPr>
        <w:t>превишенията</w:t>
      </w:r>
      <w:proofErr w:type="spellEnd"/>
      <w:r>
        <w:rPr>
          <w:rFonts w:eastAsia="Times New Roman"/>
          <w:sz w:val="24"/>
          <w:szCs w:val="24"/>
          <w:highlight w:val="white"/>
          <w:shd w:val="clear" w:color="auto" w:fill="FEFEFE"/>
        </w:rPr>
        <w:t xml:space="preserve"> на горния и долния оценъчен праг се определят чрез измервания, провеждани през годината в райони, за които резултатите от предварително извършена инвентаризация на емисиите и </w:t>
      </w:r>
      <w:proofErr w:type="spellStart"/>
      <w:r>
        <w:rPr>
          <w:rFonts w:eastAsia="Times New Roman"/>
          <w:sz w:val="24"/>
          <w:szCs w:val="24"/>
          <w:highlight w:val="white"/>
          <w:shd w:val="clear" w:color="auto" w:fill="FEFEFE"/>
        </w:rPr>
        <w:t>последващо</w:t>
      </w:r>
      <w:proofErr w:type="spellEnd"/>
      <w:r>
        <w:rPr>
          <w:rFonts w:eastAsia="Times New Roman"/>
          <w:sz w:val="24"/>
          <w:szCs w:val="24"/>
          <w:highlight w:val="white"/>
          <w:shd w:val="clear" w:color="auto" w:fill="FEFEFE"/>
        </w:rPr>
        <w:t xml:space="preserve">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дават основание да се считат за такива с най-високи нива на замърсяване.</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6 към чл. 11</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48 от 2017 г., в сила от 16.06.2017 г.)</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Изисквания към оценката на КАВ и разполагане на пунктовете за мониторинг (ПМ)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Общи критерии за оценка на КАВ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Качеството на атмосферния въздух се оценява във всички райони (в т.ч. агломерации) за </w:t>
      </w:r>
      <w:r>
        <w:rPr>
          <w:rFonts w:eastAsia="Times New Roman"/>
          <w:sz w:val="24"/>
          <w:szCs w:val="24"/>
          <w:highlight w:val="white"/>
          <w:shd w:val="clear" w:color="auto" w:fill="FEFEFE"/>
        </w:rPr>
        <w:lastRenderedPageBreak/>
        <w:t xml:space="preserve">оценка на КАВ с изключение на местата, посочени в т. 2, в съответствие с критериите, установени в раздели ІІ и ІІІ, за разполагане на пунктовете за постоянен мониторинг. Условията за избор на ПМ съгласно изискванията на раздели ІІ и ІІІ са приложими и в случаите на индикативни измервания на КАВ и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Оценката за спазването на установените норми за опазване на човешкото здраве не се извършва на следните места: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 райони, до които обществеността няма достъп и където няма населени места;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 работните места на предприятия или на промишлени инсталации, по отношение на които се прилагат съответните изисквания за осигуряване на здравословни и безопасни условия на труд;</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на пътното платно и на разделителните ивици на пътя, освен в случаите, когато съществува достъп на пешеходци до разделителната ивица.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ІІ. Условия за разполагане на ПМ (точките за вземане на проби) в </w:t>
      </w:r>
      <w:proofErr w:type="spellStart"/>
      <w:r>
        <w:rPr>
          <w:rFonts w:eastAsia="Times New Roman"/>
          <w:sz w:val="24"/>
          <w:szCs w:val="24"/>
          <w:highlight w:val="white"/>
          <w:shd w:val="clear" w:color="auto" w:fill="FEFEFE"/>
        </w:rPr>
        <w:t>макромащаб</w:t>
      </w:r>
      <w:proofErr w:type="spellEnd"/>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Опазване на човешкото здраве: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w:t>
      </w:r>
      <w:proofErr w:type="spellStart"/>
      <w:r>
        <w:rPr>
          <w:rFonts w:eastAsia="Times New Roman"/>
          <w:sz w:val="24"/>
          <w:szCs w:val="24"/>
          <w:highlight w:val="white"/>
          <w:shd w:val="clear" w:color="auto" w:fill="FEFEFE"/>
        </w:rPr>
        <w:t>1</w:t>
      </w:r>
      <w:proofErr w:type="spellEnd"/>
      <w:r>
        <w:rPr>
          <w:rFonts w:eastAsia="Times New Roman"/>
          <w:sz w:val="24"/>
          <w:szCs w:val="24"/>
          <w:highlight w:val="white"/>
          <w:shd w:val="clear" w:color="auto" w:fill="FEFEFE"/>
        </w:rPr>
        <w:t>. ПМ, ориентирани към опазване на човешкото здраве, се разполагат така, че да предоставят данни за: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зони в рамките на съответните райони или агломерации, в които са възможни най-високите нива на замърсителите и в които населението може да бъде изложено на въздействието на последните пряко или косвено за период от време, превишаващ значително периода на осредняване на съответните норми;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нивата за други зони в районите или агломерациите, които са представителни по отношение на експозицията на населението;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ПМ да не са представителни за ограничени пространства в непосредствена близост до тях: точките за вземане на проби се разполагат така, че да са представителни за качеството на въздуха за участък от пътя с дължина не по-малка от 100 m в </w:t>
      </w:r>
      <w:proofErr w:type="spellStart"/>
      <w:r>
        <w:rPr>
          <w:rFonts w:eastAsia="Times New Roman"/>
          <w:sz w:val="24"/>
          <w:szCs w:val="24"/>
          <w:highlight w:val="white"/>
          <w:shd w:val="clear" w:color="auto" w:fill="FEFEFE"/>
        </w:rPr>
        <w:t>транспортноориентирани</w:t>
      </w:r>
      <w:proofErr w:type="spellEnd"/>
      <w:r>
        <w:rPr>
          <w:rFonts w:eastAsia="Times New Roman"/>
          <w:sz w:val="24"/>
          <w:szCs w:val="24"/>
          <w:highlight w:val="white"/>
          <w:shd w:val="clear" w:color="auto" w:fill="FEFEFE"/>
        </w:rPr>
        <w:t xml:space="preserve"> пунктове и за площ не по-малка от 250 m x 250 m за промишлено-ориентирани пунктове, където е приложимо;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градските фонови ПМ се разполагат по такъв начин, че нивата на замърсяване, регистрирани от тях, да отчитат емисиите от всички източници, които се намират от </w:t>
      </w:r>
      <w:proofErr w:type="spellStart"/>
      <w:r>
        <w:rPr>
          <w:rFonts w:eastAsia="Times New Roman"/>
          <w:sz w:val="24"/>
          <w:szCs w:val="24"/>
          <w:highlight w:val="white"/>
          <w:shd w:val="clear" w:color="auto" w:fill="FEFEFE"/>
        </w:rPr>
        <w:t>наветрената</w:t>
      </w:r>
      <w:proofErr w:type="spellEnd"/>
      <w:r>
        <w:rPr>
          <w:rFonts w:eastAsia="Times New Roman"/>
          <w:sz w:val="24"/>
          <w:szCs w:val="24"/>
          <w:highlight w:val="white"/>
          <w:shd w:val="clear" w:color="auto" w:fill="FEFEFE"/>
        </w:rPr>
        <w:t xml:space="preserve"> страна на ПМ; нивото на замърсяване следва да не бъде доминирано от един източник, освен ако това не е типична ситуация за по-голямата част от градския район; като общо правило точките за вземане на проби следва да са представителни за няколко квадратни километра;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 за оценка на извънградските фонови нива точките за вземане на проби се разполагат така, че да се избягва влиянието от агломерации или промишлени източници в близост до тях, т.е. източници на разстояние по-малко от 5 </w:t>
      </w:r>
      <w:proofErr w:type="spellStart"/>
      <w:r>
        <w:rPr>
          <w:rFonts w:eastAsia="Times New Roman"/>
          <w:sz w:val="24"/>
          <w:szCs w:val="24"/>
          <w:highlight w:val="white"/>
          <w:shd w:val="clear" w:color="auto" w:fill="FEFEFE"/>
        </w:rPr>
        <w:t>km</w:t>
      </w:r>
      <w:proofErr w:type="spellEnd"/>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1.5. за оценка на приноса от промишлени източници се разполага не по-малко от една точка за вземане на проби от </w:t>
      </w:r>
      <w:proofErr w:type="spellStart"/>
      <w:r>
        <w:rPr>
          <w:rFonts w:eastAsia="Times New Roman"/>
          <w:sz w:val="24"/>
          <w:szCs w:val="24"/>
          <w:highlight w:val="white"/>
          <w:shd w:val="clear" w:color="auto" w:fill="FEFEFE"/>
        </w:rPr>
        <w:t>подветрената</w:t>
      </w:r>
      <w:proofErr w:type="spellEnd"/>
      <w:r>
        <w:rPr>
          <w:rFonts w:eastAsia="Times New Roman"/>
          <w:sz w:val="24"/>
          <w:szCs w:val="24"/>
          <w:highlight w:val="white"/>
          <w:shd w:val="clear" w:color="auto" w:fill="FEFEFE"/>
        </w:rPr>
        <w:t xml:space="preserve"> страна спрямо източника на замърсяване в най-близкия жилищен район; когато фоновата концентрация не е известна, се разполага допълнителна точка за вземане на проби, ориентирана по преобладаващата посока на вятъра;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ПМ следва също, когато е възможно, да са представителни и за сходни райони, които не са в непосредствена близост до тях.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Опазване на растителността и природните екосистеми: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ПМ, ориентирани към опазване на растителността и природните екосистеми, се разполагат на повече от 20 </w:t>
      </w:r>
      <w:proofErr w:type="spellStart"/>
      <w:r>
        <w:rPr>
          <w:rFonts w:eastAsia="Times New Roman"/>
          <w:sz w:val="24"/>
          <w:szCs w:val="24"/>
          <w:highlight w:val="white"/>
          <w:shd w:val="clear" w:color="auto" w:fill="FEFEFE"/>
        </w:rPr>
        <w:t>km</w:t>
      </w:r>
      <w:proofErr w:type="spellEnd"/>
      <w:r>
        <w:rPr>
          <w:rFonts w:eastAsia="Times New Roman"/>
          <w:sz w:val="24"/>
          <w:szCs w:val="24"/>
          <w:highlight w:val="white"/>
          <w:shd w:val="clear" w:color="auto" w:fill="FEFEFE"/>
        </w:rPr>
        <w:t xml:space="preserve"> от агломерации или на повече от 5 </w:t>
      </w:r>
      <w:proofErr w:type="spellStart"/>
      <w:r>
        <w:rPr>
          <w:rFonts w:eastAsia="Times New Roman"/>
          <w:sz w:val="24"/>
          <w:szCs w:val="24"/>
          <w:highlight w:val="white"/>
          <w:shd w:val="clear" w:color="auto" w:fill="FEFEFE"/>
        </w:rPr>
        <w:t>km</w:t>
      </w:r>
      <w:proofErr w:type="spellEnd"/>
      <w:r>
        <w:rPr>
          <w:rFonts w:eastAsia="Times New Roman"/>
          <w:sz w:val="24"/>
          <w:szCs w:val="24"/>
          <w:highlight w:val="white"/>
          <w:shd w:val="clear" w:color="auto" w:fill="FEFEFE"/>
        </w:rPr>
        <w:t xml:space="preserve"> от други застроени райони, промишлени инсталации, магистрали или главни пътища с транспортен трафик, надвишаващ 50 000 превозни средства на ден. ПМ следва да бъде разположен така, че да е представителен за качеството на въздуха в обкръжаващия го район с площ не по-малка от 1000 km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ІІІ. (Изм. - ДВ, бр. 48 от 2017 г., в сила от 16.06.2017 г.) Условия за разполагане на ПМ (точките за вземане на проби) в </w:t>
      </w:r>
      <w:proofErr w:type="spellStart"/>
      <w:r>
        <w:rPr>
          <w:rFonts w:eastAsia="Times New Roman"/>
          <w:sz w:val="24"/>
          <w:szCs w:val="24"/>
          <w:highlight w:val="white"/>
          <w:shd w:val="clear" w:color="auto" w:fill="FEFEFE"/>
        </w:rPr>
        <w:t>микромащаб</w:t>
      </w:r>
      <w:proofErr w:type="spellEnd"/>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 разполагането на ПМ се прилагат следните изисквания: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w:t>
      </w:r>
      <w:proofErr w:type="spellStart"/>
      <w:r>
        <w:rPr>
          <w:rFonts w:eastAsia="Times New Roman"/>
          <w:sz w:val="24"/>
          <w:szCs w:val="24"/>
          <w:highlight w:val="white"/>
          <w:shd w:val="clear" w:color="auto" w:fill="FEFEFE"/>
        </w:rPr>
        <w:t>1</w:t>
      </w:r>
      <w:proofErr w:type="spellEnd"/>
      <w:r>
        <w:rPr>
          <w:rFonts w:eastAsia="Times New Roman"/>
          <w:sz w:val="24"/>
          <w:szCs w:val="24"/>
          <w:highlight w:val="white"/>
          <w:shd w:val="clear" w:color="auto" w:fill="FEFEFE"/>
        </w:rPr>
        <w:t>. потокът около входното отверстие на устройството за вземане на проби да не е ограничен (в общия случай да е свободен в сектор от най-малко 270°, или съответно 180° при точки за вземане на проби, намиращи се на линията на разположението на сградите) и без да са налице прегради, възпрепятстващи движението на въздуха в близост до него; входното отверстие на устройството за вземане на проби се разполага на разстояние няколко метра от сгради, балкони, дървета и други прегради и на не по-малко от 0,5 m от най-близката сграда в случаите на точки за вземане на проби, които са представителни за качеството на въздуха на линията на разположението на сградите;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входното отверстие на устройството за вземане на проби следва да бъде разположено на височина между 1,5 m (зоната на дишане) и 4 m над земната повърхност; в случай че ПМ е представителен за голям район, може да бъде подходящо и по-високо разполагане, като всички изключения се документират подробно;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входното отверстие на устройството за вземане на проби да не е разположено в непосредствена близост до източници на емисии, за да се избегне директното попадане на замърсители в него преди дисперсията им в атмосферния въздух;</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изходното отверстие на устройството за вземане на проби се разполага така, че да се избегне повторното преминаване на изходящия въздух през входното отверстие;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1.5. при </w:t>
      </w:r>
      <w:proofErr w:type="spellStart"/>
      <w:r>
        <w:rPr>
          <w:rFonts w:eastAsia="Times New Roman"/>
          <w:sz w:val="24"/>
          <w:szCs w:val="24"/>
          <w:highlight w:val="white"/>
          <w:shd w:val="clear" w:color="auto" w:fill="FEFEFE"/>
        </w:rPr>
        <w:t>транспортноориентирани</w:t>
      </w:r>
      <w:proofErr w:type="spellEnd"/>
      <w:r>
        <w:rPr>
          <w:rFonts w:eastAsia="Times New Roman"/>
          <w:sz w:val="24"/>
          <w:szCs w:val="24"/>
          <w:highlight w:val="white"/>
          <w:shd w:val="clear" w:color="auto" w:fill="FEFEFE"/>
        </w:rPr>
        <w:t xml:space="preserve"> ПМ устройството за вземане на проби от всички замърсители се разполага на не по-малко от 25 m от големи кръстовища и на не повече от 10 m от бордюра; в случая като "голямо кръстовище" следва да се разбира такова, което прекъсва транспортния поток и води до различен вид емисии (при спиране и потегляне) в сравнение с останалата част от пътя.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Всяко отклонение от посочените в т. 1 изисквания следва да се документира при спазване на процедурите, описани в раздел IV Документиране и преглед на избора на площадки за мониторинг.</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разполагането на ПМ съгласно т. 1 се отчита и влиянието на следните фактори: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наслагващи се (</w:t>
      </w:r>
      <w:proofErr w:type="spellStart"/>
      <w:r>
        <w:rPr>
          <w:rFonts w:eastAsia="Times New Roman"/>
          <w:sz w:val="24"/>
          <w:szCs w:val="24"/>
          <w:highlight w:val="white"/>
          <w:shd w:val="clear" w:color="auto" w:fill="FEFEFE"/>
        </w:rPr>
        <w:t>интерфериращи</w:t>
      </w:r>
      <w:proofErr w:type="spellEnd"/>
      <w:r>
        <w:rPr>
          <w:rFonts w:eastAsia="Times New Roman"/>
          <w:sz w:val="24"/>
          <w:szCs w:val="24"/>
          <w:highlight w:val="white"/>
          <w:shd w:val="clear" w:color="auto" w:fill="FEFEFE"/>
        </w:rPr>
        <w:t>) източници;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сигурност;</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достъп;</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наличие на електрозахранване и телефонни комуникации;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видимост на площадката спрямо нейното обкръжение;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безопасност на населението и обслужващия персонал;</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съвместно разполагане на точките за вземане на проби за определяне нивата на различни замърсители;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изисквания, свързани с териториалното планиране.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ІV. (Изм. - ДВ, бр. 48 от 2017 г., в сила от 16.06.2017 г.) Документиране и преглед на избора на площадки за мониторинг</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Изпълнителният директор на ИАОС или </w:t>
      </w:r>
      <w:proofErr w:type="spellStart"/>
      <w:r>
        <w:rPr>
          <w:rFonts w:eastAsia="Times New Roman"/>
          <w:sz w:val="24"/>
          <w:szCs w:val="24"/>
          <w:highlight w:val="white"/>
          <w:shd w:val="clear" w:color="auto" w:fill="FEFEFE"/>
        </w:rPr>
        <w:t>оправомощено</w:t>
      </w:r>
      <w:proofErr w:type="spellEnd"/>
      <w:r>
        <w:rPr>
          <w:rFonts w:eastAsia="Times New Roman"/>
          <w:sz w:val="24"/>
          <w:szCs w:val="24"/>
          <w:highlight w:val="white"/>
          <w:shd w:val="clear" w:color="auto" w:fill="FEFEFE"/>
        </w:rPr>
        <w:t xml:space="preserve"> от него лице документира за всички зони и агломерации процедурите по избор на площадки, записва и съхранява обяснителна информация относно проекта на мрежата от площадки за мониторинг и избора на местоположението на всяка една от тях. Документацията съдържа: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фотографии на околностите на площадките с </w:t>
      </w:r>
      <w:proofErr w:type="spellStart"/>
      <w:r>
        <w:rPr>
          <w:rFonts w:eastAsia="Times New Roman"/>
          <w:sz w:val="24"/>
          <w:szCs w:val="24"/>
          <w:highlight w:val="white"/>
          <w:shd w:val="clear" w:color="auto" w:fill="FEFEFE"/>
        </w:rPr>
        <w:t>компасна</w:t>
      </w:r>
      <w:proofErr w:type="spellEnd"/>
      <w:r>
        <w:rPr>
          <w:rFonts w:eastAsia="Times New Roman"/>
          <w:sz w:val="24"/>
          <w:szCs w:val="24"/>
          <w:highlight w:val="white"/>
          <w:shd w:val="clear" w:color="auto" w:fill="FEFEFE"/>
        </w:rPr>
        <w:t xml:space="preserve"> стрелка и подробни карти;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в случаите, при които в дадена зона или агломерация се използват други методи за оценка на КАВ, документацията трябва да включва подробни данни за тези методи и информация как са спазени критериите, посочени в чл. 13 и 14.</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Документацията се актуализира при необходимост и се преразглежда на всеки пет години, за да се потвърди, че критериите за избор, проектът на мрежата от площадки за мониторинг и местоположението на всяка една от тях продължават да са валидни и оптимални с течение на времето.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Документацията се представя на Европейската комисия в срок 3 месеца след нейното поискване.</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7 към чл. 12</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Критерии за определяне на минималния брой ПМ за постоянно измерване на концентрациите на серен диоксид, азотен диоксид, ФПЧ,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в атмосферния въздух</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Минимален брой ПМ за постоянно измерване за оценка на съответствието с нормите за опазване на човешкото здраве и алармените прагове в районите и агломерациите, където постоянните измервания са единствен източник на информация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Неорганизирани източници</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14</w:t>
      </w:r>
    </w:p>
    <w:p w:rsidR="00E62D79" w:rsidRDefault="00E62D79">
      <w:pPr>
        <w:rPr>
          <w:rFonts w:eastAsia="Times New Roman"/>
          <w:sz w:val="24"/>
          <w:szCs w:val="24"/>
          <w:highlight w:val="white"/>
          <w:shd w:val="clear" w:color="auto" w:fill="FEFEFE"/>
        </w:rPr>
      </w:pPr>
    </w:p>
    <w:tbl>
      <w:tblPr>
        <w:tblW w:w="10335" w:type="dxa"/>
        <w:tblInd w:w="20" w:type="dxa"/>
        <w:tblLayout w:type="fixed"/>
        <w:tblCellMar>
          <w:left w:w="15" w:type="dxa"/>
          <w:right w:w="15" w:type="dxa"/>
        </w:tblCellMar>
        <w:tblLook w:val="0000" w:firstRow="0" w:lastRow="0" w:firstColumn="0" w:lastColumn="0" w:noHBand="0" w:noVBand="0"/>
      </w:tblPr>
      <w:tblGrid>
        <w:gridCol w:w="2207"/>
        <w:gridCol w:w="1950"/>
        <w:gridCol w:w="2114"/>
        <w:gridCol w:w="2050"/>
        <w:gridCol w:w="2014"/>
      </w:tblGrid>
      <w:tr w:rsidR="00E62D79">
        <w:tblPrEx>
          <w:tblCellMar>
            <w:top w:w="0" w:type="dxa"/>
            <w:bottom w:w="0" w:type="dxa"/>
          </w:tblCellMar>
        </w:tblPrEx>
        <w:trPr>
          <w:trHeight w:val="283"/>
        </w:trPr>
        <w:tc>
          <w:tcPr>
            <w:tcW w:w="2207" w:type="dxa"/>
            <w:vMerge w:val="restart"/>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Население на агломерацията или района (в хиляди)</w:t>
            </w:r>
          </w:p>
        </w:tc>
        <w:tc>
          <w:tcPr>
            <w:tcW w:w="4064"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Ако максималните концентрации превишават горния оценъчен праг </w:t>
            </w:r>
            <w:r>
              <w:rPr>
                <w:rFonts w:ascii="Arial" w:eastAsia="Times New Roman" w:hAnsi="Arial" w:cs="Arial"/>
                <w:highlight w:val="white"/>
                <w:shd w:val="clear" w:color="auto" w:fill="FEFEFE"/>
                <w:vertAlign w:val="superscript"/>
              </w:rPr>
              <w:t>(1)</w:t>
            </w:r>
          </w:p>
        </w:tc>
        <w:tc>
          <w:tcPr>
            <w:tcW w:w="4064"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Ако максималните концентрации се намират между горния и долния оценъчен праг</w:t>
            </w:r>
          </w:p>
        </w:tc>
      </w:tr>
      <w:tr w:rsidR="00E62D79">
        <w:tblPrEx>
          <w:tblCellMar>
            <w:top w:w="0" w:type="dxa"/>
            <w:bottom w:w="0" w:type="dxa"/>
          </w:tblCellMar>
        </w:tblPrEx>
        <w:trPr>
          <w:trHeight w:val="283"/>
        </w:trPr>
        <w:tc>
          <w:tcPr>
            <w:tcW w:w="2207" w:type="dxa"/>
            <w:vMerge/>
            <w:tcBorders>
              <w:top w:val="single" w:sz="8" w:space="0" w:color="auto"/>
              <w:left w:val="single" w:sz="8" w:space="0" w:color="auto"/>
              <w:bottom w:val="nil"/>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
        </w:tc>
        <w:tc>
          <w:tcPr>
            <w:tcW w:w="195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замърсители освен ФПЧ</w:t>
            </w:r>
          </w:p>
        </w:tc>
        <w:tc>
          <w:tcPr>
            <w:tcW w:w="2114"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ФПЧ </w:t>
            </w:r>
            <w:r>
              <w:rPr>
                <w:rFonts w:ascii="Arial" w:eastAsia="Times New Roman" w:hAnsi="Arial" w:cs="Arial"/>
                <w:highlight w:val="white"/>
                <w:shd w:val="clear" w:color="auto" w:fill="FEFEFE"/>
                <w:vertAlign w:val="superscript"/>
              </w:rPr>
              <w:t>(2)</w:t>
            </w:r>
            <w:r>
              <w:rPr>
                <w:rFonts w:ascii="Arial" w:eastAsia="Times New Roman" w:hAnsi="Arial" w:cs="Arial"/>
                <w:highlight w:val="white"/>
                <w:shd w:val="clear" w:color="auto" w:fill="FEFEFE"/>
              </w:rPr>
              <w:t xml:space="preserve"> (общо ФПЧ</w:t>
            </w:r>
            <w:r>
              <w:rPr>
                <w:rFonts w:ascii="Arial" w:eastAsia="Times New Roman" w:hAnsi="Arial" w:cs="Arial"/>
                <w:highlight w:val="white"/>
                <w:shd w:val="clear" w:color="auto" w:fill="FEFEFE"/>
                <w:vertAlign w:val="subscript"/>
              </w:rPr>
              <w:t>10</w:t>
            </w:r>
            <w:r>
              <w:rPr>
                <w:rFonts w:ascii="Arial" w:eastAsia="Times New Roman" w:hAnsi="Arial" w:cs="Arial"/>
                <w:highlight w:val="white"/>
                <w:shd w:val="clear" w:color="auto" w:fill="FEFEFE"/>
              </w:rPr>
              <w:t xml:space="preserve"> и ФПЧ</w:t>
            </w:r>
            <w:r>
              <w:rPr>
                <w:rFonts w:ascii="Arial" w:eastAsia="Times New Roman" w:hAnsi="Arial" w:cs="Arial"/>
                <w:highlight w:val="white"/>
                <w:shd w:val="clear" w:color="auto" w:fill="FEFEFE"/>
                <w:vertAlign w:val="subscript"/>
              </w:rPr>
              <w:t>2,5</w:t>
            </w:r>
            <w:r>
              <w:rPr>
                <w:rFonts w:ascii="Arial" w:eastAsia="Times New Roman" w:hAnsi="Arial" w:cs="Arial"/>
                <w:highlight w:val="white"/>
                <w:shd w:val="clear" w:color="auto" w:fill="FEFEFE"/>
              </w:rPr>
              <w:t>)</w:t>
            </w:r>
          </w:p>
        </w:tc>
        <w:tc>
          <w:tcPr>
            <w:tcW w:w="205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замърсители освен ФПЧ</w:t>
            </w:r>
          </w:p>
        </w:tc>
        <w:tc>
          <w:tcPr>
            <w:tcW w:w="2014"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ФПЧ </w:t>
            </w:r>
            <w:r>
              <w:rPr>
                <w:rFonts w:ascii="Arial" w:eastAsia="Times New Roman" w:hAnsi="Arial" w:cs="Arial"/>
                <w:highlight w:val="white"/>
                <w:shd w:val="clear" w:color="auto" w:fill="FEFEFE"/>
                <w:vertAlign w:val="superscript"/>
              </w:rPr>
              <w:t>(2)</w:t>
            </w:r>
            <w:r>
              <w:rPr>
                <w:rFonts w:ascii="Arial" w:eastAsia="Times New Roman" w:hAnsi="Arial" w:cs="Arial"/>
                <w:highlight w:val="white"/>
                <w:shd w:val="clear" w:color="auto" w:fill="FEFEFE"/>
              </w:rPr>
              <w:t xml:space="preserve"> (общо ФПЧ</w:t>
            </w:r>
            <w:r>
              <w:rPr>
                <w:rFonts w:ascii="Arial" w:eastAsia="Times New Roman" w:hAnsi="Arial" w:cs="Arial"/>
                <w:highlight w:val="white"/>
                <w:shd w:val="clear" w:color="auto" w:fill="FEFEFE"/>
                <w:vertAlign w:val="subscript"/>
              </w:rPr>
              <w:t>10</w:t>
            </w:r>
            <w:r>
              <w:rPr>
                <w:rFonts w:ascii="Arial" w:eastAsia="Times New Roman" w:hAnsi="Arial" w:cs="Arial"/>
                <w:highlight w:val="white"/>
                <w:shd w:val="clear" w:color="auto" w:fill="FEFEFE"/>
              </w:rPr>
              <w:t xml:space="preserve"> и ФПЧ</w:t>
            </w:r>
            <w:r>
              <w:rPr>
                <w:rFonts w:ascii="Arial" w:eastAsia="Times New Roman" w:hAnsi="Arial" w:cs="Arial"/>
                <w:highlight w:val="white"/>
                <w:shd w:val="clear" w:color="auto" w:fill="FEFEFE"/>
                <w:vertAlign w:val="subscript"/>
              </w:rPr>
              <w:t>2,5</w:t>
            </w: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2207"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0 - 249</w:t>
            </w:r>
          </w:p>
        </w:tc>
        <w:tc>
          <w:tcPr>
            <w:tcW w:w="1950"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w:t>
            </w:r>
          </w:p>
        </w:tc>
        <w:tc>
          <w:tcPr>
            <w:tcW w:w="2114"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c>
          <w:tcPr>
            <w:tcW w:w="2050"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w:t>
            </w:r>
          </w:p>
        </w:tc>
        <w:tc>
          <w:tcPr>
            <w:tcW w:w="2014"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w:t>
            </w:r>
          </w:p>
        </w:tc>
      </w:tr>
      <w:tr w:rsidR="00E62D79">
        <w:tblPrEx>
          <w:tblCellMar>
            <w:top w:w="0" w:type="dxa"/>
            <w:bottom w:w="0" w:type="dxa"/>
          </w:tblCellMar>
        </w:tblPrEx>
        <w:trPr>
          <w:trHeight w:val="283"/>
        </w:trPr>
        <w:tc>
          <w:tcPr>
            <w:tcW w:w="220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250 - 499</w:t>
            </w:r>
          </w:p>
        </w:tc>
        <w:tc>
          <w:tcPr>
            <w:tcW w:w="19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c>
          <w:tcPr>
            <w:tcW w:w="21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c>
          <w:tcPr>
            <w:tcW w:w="20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w:t>
            </w:r>
          </w:p>
        </w:tc>
        <w:tc>
          <w:tcPr>
            <w:tcW w:w="20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r>
      <w:tr w:rsidR="00E62D79">
        <w:tblPrEx>
          <w:tblCellMar>
            <w:top w:w="0" w:type="dxa"/>
            <w:bottom w:w="0" w:type="dxa"/>
          </w:tblCellMar>
        </w:tblPrEx>
        <w:trPr>
          <w:trHeight w:val="283"/>
        </w:trPr>
        <w:tc>
          <w:tcPr>
            <w:tcW w:w="220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500 - 749</w:t>
            </w:r>
          </w:p>
        </w:tc>
        <w:tc>
          <w:tcPr>
            <w:tcW w:w="19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c>
          <w:tcPr>
            <w:tcW w:w="21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c>
          <w:tcPr>
            <w:tcW w:w="20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w:t>
            </w:r>
          </w:p>
        </w:tc>
        <w:tc>
          <w:tcPr>
            <w:tcW w:w="20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r>
      <w:tr w:rsidR="00E62D79">
        <w:tblPrEx>
          <w:tblCellMar>
            <w:top w:w="0" w:type="dxa"/>
            <w:bottom w:w="0" w:type="dxa"/>
          </w:tblCellMar>
        </w:tblPrEx>
        <w:trPr>
          <w:trHeight w:val="283"/>
        </w:trPr>
        <w:tc>
          <w:tcPr>
            <w:tcW w:w="220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750 - 999</w:t>
            </w:r>
          </w:p>
        </w:tc>
        <w:tc>
          <w:tcPr>
            <w:tcW w:w="19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c>
          <w:tcPr>
            <w:tcW w:w="21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w:t>
            </w:r>
          </w:p>
        </w:tc>
        <w:tc>
          <w:tcPr>
            <w:tcW w:w="20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w:t>
            </w:r>
          </w:p>
        </w:tc>
        <w:tc>
          <w:tcPr>
            <w:tcW w:w="20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r>
      <w:tr w:rsidR="00E62D79">
        <w:tblPrEx>
          <w:tblCellMar>
            <w:top w:w="0" w:type="dxa"/>
            <w:bottom w:w="0" w:type="dxa"/>
          </w:tblCellMar>
        </w:tblPrEx>
        <w:trPr>
          <w:trHeight w:val="283"/>
        </w:trPr>
        <w:tc>
          <w:tcPr>
            <w:tcW w:w="220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1000 - 1499</w:t>
            </w:r>
          </w:p>
        </w:tc>
        <w:tc>
          <w:tcPr>
            <w:tcW w:w="19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w:t>
            </w:r>
          </w:p>
        </w:tc>
        <w:tc>
          <w:tcPr>
            <w:tcW w:w="21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6</w:t>
            </w:r>
          </w:p>
        </w:tc>
        <w:tc>
          <w:tcPr>
            <w:tcW w:w="20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c>
          <w:tcPr>
            <w:tcW w:w="20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r>
      <w:tr w:rsidR="00E62D79">
        <w:tblPrEx>
          <w:tblCellMar>
            <w:top w:w="0" w:type="dxa"/>
            <w:bottom w:w="0" w:type="dxa"/>
          </w:tblCellMar>
        </w:tblPrEx>
        <w:trPr>
          <w:trHeight w:val="283"/>
        </w:trPr>
        <w:tc>
          <w:tcPr>
            <w:tcW w:w="220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1500 - 1999</w:t>
            </w:r>
          </w:p>
        </w:tc>
        <w:tc>
          <w:tcPr>
            <w:tcW w:w="19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w:t>
            </w:r>
          </w:p>
        </w:tc>
        <w:tc>
          <w:tcPr>
            <w:tcW w:w="21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w:t>
            </w:r>
          </w:p>
        </w:tc>
        <w:tc>
          <w:tcPr>
            <w:tcW w:w="20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c>
          <w:tcPr>
            <w:tcW w:w="20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r>
      <w:tr w:rsidR="00E62D79">
        <w:tblPrEx>
          <w:tblCellMar>
            <w:top w:w="0" w:type="dxa"/>
            <w:bottom w:w="0" w:type="dxa"/>
          </w:tblCellMar>
        </w:tblPrEx>
        <w:trPr>
          <w:trHeight w:val="283"/>
        </w:trPr>
        <w:tc>
          <w:tcPr>
            <w:tcW w:w="220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2000 - 2749</w:t>
            </w:r>
          </w:p>
        </w:tc>
        <w:tc>
          <w:tcPr>
            <w:tcW w:w="19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6</w:t>
            </w:r>
          </w:p>
        </w:tc>
        <w:tc>
          <w:tcPr>
            <w:tcW w:w="21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8</w:t>
            </w:r>
          </w:p>
        </w:tc>
        <w:tc>
          <w:tcPr>
            <w:tcW w:w="20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c>
          <w:tcPr>
            <w:tcW w:w="20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w:t>
            </w:r>
          </w:p>
        </w:tc>
      </w:tr>
      <w:tr w:rsidR="00E62D79">
        <w:tblPrEx>
          <w:tblCellMar>
            <w:top w:w="0" w:type="dxa"/>
            <w:bottom w:w="0" w:type="dxa"/>
          </w:tblCellMar>
        </w:tblPrEx>
        <w:trPr>
          <w:trHeight w:val="283"/>
        </w:trPr>
        <w:tc>
          <w:tcPr>
            <w:tcW w:w="220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2750 - 3749</w:t>
            </w:r>
          </w:p>
        </w:tc>
        <w:tc>
          <w:tcPr>
            <w:tcW w:w="19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w:t>
            </w:r>
          </w:p>
        </w:tc>
        <w:tc>
          <w:tcPr>
            <w:tcW w:w="21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w:t>
            </w:r>
          </w:p>
        </w:tc>
        <w:tc>
          <w:tcPr>
            <w:tcW w:w="20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c>
          <w:tcPr>
            <w:tcW w:w="20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w:t>
            </w:r>
          </w:p>
        </w:tc>
      </w:tr>
      <w:tr w:rsidR="00E62D79">
        <w:tblPrEx>
          <w:tblCellMar>
            <w:top w:w="0" w:type="dxa"/>
            <w:bottom w:w="0" w:type="dxa"/>
          </w:tblCellMar>
        </w:tblPrEx>
        <w:trPr>
          <w:trHeight w:val="283"/>
        </w:trPr>
        <w:tc>
          <w:tcPr>
            <w:tcW w:w="220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3750 - 4749</w:t>
            </w:r>
          </w:p>
        </w:tc>
        <w:tc>
          <w:tcPr>
            <w:tcW w:w="19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8</w:t>
            </w:r>
          </w:p>
        </w:tc>
        <w:tc>
          <w:tcPr>
            <w:tcW w:w="21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11</w:t>
            </w:r>
          </w:p>
        </w:tc>
        <w:tc>
          <w:tcPr>
            <w:tcW w:w="20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c>
          <w:tcPr>
            <w:tcW w:w="20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6</w:t>
            </w:r>
          </w:p>
        </w:tc>
      </w:tr>
      <w:tr w:rsidR="00E62D79">
        <w:tblPrEx>
          <w:tblCellMar>
            <w:top w:w="0" w:type="dxa"/>
            <w:bottom w:w="0" w:type="dxa"/>
          </w:tblCellMar>
        </w:tblPrEx>
        <w:trPr>
          <w:trHeight w:val="283"/>
        </w:trPr>
        <w:tc>
          <w:tcPr>
            <w:tcW w:w="220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4750 - 5999</w:t>
            </w:r>
          </w:p>
        </w:tc>
        <w:tc>
          <w:tcPr>
            <w:tcW w:w="19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w:t>
            </w:r>
          </w:p>
        </w:tc>
        <w:tc>
          <w:tcPr>
            <w:tcW w:w="21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13</w:t>
            </w:r>
          </w:p>
        </w:tc>
        <w:tc>
          <w:tcPr>
            <w:tcW w:w="20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w:t>
            </w:r>
          </w:p>
        </w:tc>
        <w:tc>
          <w:tcPr>
            <w:tcW w:w="20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6</w:t>
            </w:r>
          </w:p>
        </w:tc>
      </w:tr>
      <w:tr w:rsidR="00E62D79">
        <w:tblPrEx>
          <w:tblCellMar>
            <w:top w:w="0" w:type="dxa"/>
            <w:bottom w:w="0" w:type="dxa"/>
          </w:tblCellMar>
        </w:tblPrEx>
        <w:trPr>
          <w:trHeight w:val="283"/>
        </w:trPr>
        <w:tc>
          <w:tcPr>
            <w:tcW w:w="2207"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6000</w:t>
            </w:r>
          </w:p>
        </w:tc>
        <w:tc>
          <w:tcPr>
            <w:tcW w:w="19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w:t>
            </w:r>
          </w:p>
        </w:tc>
        <w:tc>
          <w:tcPr>
            <w:tcW w:w="21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15</w:t>
            </w:r>
          </w:p>
        </w:tc>
        <w:tc>
          <w:tcPr>
            <w:tcW w:w="205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w:t>
            </w:r>
          </w:p>
        </w:tc>
        <w:tc>
          <w:tcPr>
            <w:tcW w:w="2014"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За азотен диоксид, фини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да включват най-малко един градски фонов ПМ и един </w:t>
      </w:r>
      <w:proofErr w:type="spellStart"/>
      <w:r>
        <w:rPr>
          <w:rFonts w:eastAsia="Times New Roman"/>
          <w:sz w:val="24"/>
          <w:szCs w:val="24"/>
          <w:highlight w:val="white"/>
          <w:shd w:val="clear" w:color="auto" w:fill="FEFEFE"/>
        </w:rPr>
        <w:t>транспортноориентиран</w:t>
      </w:r>
      <w:proofErr w:type="spellEnd"/>
      <w:r>
        <w:rPr>
          <w:rFonts w:eastAsia="Times New Roman"/>
          <w:sz w:val="24"/>
          <w:szCs w:val="24"/>
          <w:highlight w:val="white"/>
          <w:shd w:val="clear" w:color="auto" w:fill="FEFEFE"/>
        </w:rPr>
        <w:t xml:space="preserve"> ПМ, при условие че това няма да увеличи броя на точките за вземане на проби. За тези замърсители общият брой градски фонови ПМ и общият брой </w:t>
      </w:r>
      <w:proofErr w:type="spellStart"/>
      <w:r>
        <w:rPr>
          <w:rFonts w:eastAsia="Times New Roman"/>
          <w:sz w:val="24"/>
          <w:szCs w:val="24"/>
          <w:highlight w:val="white"/>
          <w:shd w:val="clear" w:color="auto" w:fill="FEFEFE"/>
        </w:rPr>
        <w:t>транспортноориентирани</w:t>
      </w:r>
      <w:proofErr w:type="spellEnd"/>
      <w:r>
        <w:rPr>
          <w:rFonts w:eastAsia="Times New Roman"/>
          <w:sz w:val="24"/>
          <w:szCs w:val="24"/>
          <w:highlight w:val="white"/>
          <w:shd w:val="clear" w:color="auto" w:fill="FEFEFE"/>
        </w:rPr>
        <w:t xml:space="preserve"> ПМ съгласно изискванията на раздел І, точка 1 не се различават с повече от фактор 2. ПМ с превишаване на нормите за нивата на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през последните три години се запазват освен ако не се налага тяхното преместване поради особени обстоятелства, по-конкретно поради изисквания, свързани с устройство на територията.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Когато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и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се измерват в един и същи ПМ, същите се отчитат като две различни точки за вземане на проби. Общият брой ПМ за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и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съгласно изискванията на раздел І, т. 1 не се различава с повече от фактор 2 и броят на точките за вземане на проби за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в градските фонови райони на агломерации и градски райони отговаря на изискванията на раздел ІІ от това приложение.</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Точкови източници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За оценка на замърсяването в близост до точкови източници броят на ПМ с постоянни измервания се определя, като се вземат предвид плътността на емисиите, вероятните модели за тяхната дисперсия в атмосферния въздух и очакваната експозиция на населението.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 Минимален брой на ПМ за постоянни измервания за оценка на съответствието с целта за ограничаване на експозицията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за опазване на човешкото здраве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Един ПМ на един милион жители, изчислен за агломерации и допълнителни градски райони, в които населението надвишава 100 000 жители. Тези ПМ могат да съвпадат с ПМ съгласно раздел І.</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ІІІ. Минимален брой ПМ за постоянни измервания за оценка на съответствието с нормите за опазване на растителността в районите, различни от агломерации</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15</w:t>
      </w:r>
    </w:p>
    <w:p w:rsidR="00E62D79" w:rsidRDefault="00E62D79">
      <w:pPr>
        <w:rPr>
          <w:rFonts w:eastAsia="Times New Roman"/>
          <w:sz w:val="24"/>
          <w:szCs w:val="24"/>
          <w:highlight w:val="white"/>
          <w:shd w:val="clear" w:color="auto" w:fill="FEFEFE"/>
        </w:rPr>
      </w:pPr>
    </w:p>
    <w:tbl>
      <w:tblPr>
        <w:tblW w:w="10185" w:type="dxa"/>
        <w:tblInd w:w="20" w:type="dxa"/>
        <w:tblLayout w:type="fixed"/>
        <w:tblCellMar>
          <w:left w:w="15" w:type="dxa"/>
          <w:right w:w="15" w:type="dxa"/>
        </w:tblCellMar>
        <w:tblLook w:val="0000" w:firstRow="0" w:lastRow="0" w:firstColumn="0" w:lastColumn="0" w:noHBand="0" w:noVBand="0"/>
      </w:tblPr>
      <w:tblGrid>
        <w:gridCol w:w="4935"/>
        <w:gridCol w:w="5250"/>
      </w:tblGrid>
      <w:tr w:rsidR="00E62D79">
        <w:tblPrEx>
          <w:tblCellMar>
            <w:top w:w="0" w:type="dxa"/>
            <w:bottom w:w="0" w:type="dxa"/>
          </w:tblCellMar>
        </w:tblPrEx>
        <w:trPr>
          <w:trHeight w:val="283"/>
        </w:trPr>
        <w:tc>
          <w:tcPr>
            <w:tcW w:w="4935"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Ако максималните концентрации превишават горния оценъчен праг</w:t>
            </w:r>
          </w:p>
        </w:tc>
        <w:tc>
          <w:tcPr>
            <w:tcW w:w="525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Ако максималните концентрации се намират между горния и долния оценъчен праг</w:t>
            </w:r>
          </w:p>
        </w:tc>
      </w:tr>
      <w:tr w:rsidR="00E62D79">
        <w:tblPrEx>
          <w:tblCellMar>
            <w:top w:w="0" w:type="dxa"/>
            <w:bottom w:w="0" w:type="dxa"/>
          </w:tblCellMar>
        </w:tblPrEx>
        <w:trPr>
          <w:trHeight w:val="283"/>
        </w:trPr>
        <w:tc>
          <w:tcPr>
            <w:tcW w:w="4935"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ПМ на всеки 20 000 km</w:t>
            </w:r>
            <w:r>
              <w:rPr>
                <w:rFonts w:ascii="Arial" w:eastAsia="Times New Roman" w:hAnsi="Arial" w:cs="Arial"/>
                <w:highlight w:val="white"/>
                <w:shd w:val="clear" w:color="auto" w:fill="FEFEFE"/>
                <w:vertAlign w:val="superscript"/>
              </w:rPr>
              <w:t>2</w:t>
            </w:r>
          </w:p>
        </w:tc>
        <w:tc>
          <w:tcPr>
            <w:tcW w:w="5250"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ПМ на всеки 40 000 km</w:t>
            </w:r>
            <w:r>
              <w:rPr>
                <w:rFonts w:ascii="Arial" w:eastAsia="Times New Roman" w:hAnsi="Arial" w:cs="Arial"/>
                <w:highlight w:val="white"/>
                <w:shd w:val="clear" w:color="auto" w:fill="FEFEFE"/>
                <w:vertAlign w:val="superscript"/>
              </w:rPr>
              <w:t>2</w:t>
            </w:r>
          </w:p>
        </w:tc>
      </w:tr>
    </w:tbl>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8 към чл. 13, т. 2, чл. 17а и чл. 22, т. 2</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(Предишно Приложение № 8 към чл. 13, т. 2 и чл. 22, ал. 2, изм. и доп. - ДВ, бр. 48 от 2017 г., в сила от 16.06.2017 г.)</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Изисквания към качеството на данните, резултатите от оценката на КАВ и осигуряване на качество на измерванията</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Изисквания към качеството на данните за оценка на КАВ</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16</w:t>
      </w:r>
    </w:p>
    <w:p w:rsidR="00E62D79" w:rsidRDefault="00E62D79">
      <w:pPr>
        <w:rPr>
          <w:rFonts w:eastAsia="Times New Roman"/>
          <w:sz w:val="24"/>
          <w:szCs w:val="24"/>
          <w:highlight w:val="white"/>
          <w:shd w:val="clear" w:color="auto" w:fill="FEFEFE"/>
        </w:rPr>
      </w:pPr>
    </w:p>
    <w:tbl>
      <w:tblPr>
        <w:tblW w:w="10365" w:type="dxa"/>
        <w:tblInd w:w="20" w:type="dxa"/>
        <w:tblLayout w:type="fixed"/>
        <w:tblCellMar>
          <w:left w:w="15" w:type="dxa"/>
          <w:right w:w="15" w:type="dxa"/>
        </w:tblCellMar>
        <w:tblLook w:val="0000" w:firstRow="0" w:lastRow="0" w:firstColumn="0" w:lastColumn="0" w:noHBand="0" w:noVBand="0"/>
      </w:tblPr>
      <w:tblGrid>
        <w:gridCol w:w="3175"/>
        <w:gridCol w:w="2169"/>
        <w:gridCol w:w="1146"/>
        <w:gridCol w:w="2135"/>
        <w:gridCol w:w="1740"/>
      </w:tblGrid>
      <w:tr w:rsidR="00E62D79">
        <w:tblPrEx>
          <w:tblCellMar>
            <w:top w:w="0" w:type="dxa"/>
            <w:bottom w:w="0" w:type="dxa"/>
          </w:tblCellMar>
        </w:tblPrEx>
        <w:trPr>
          <w:trHeight w:val="283"/>
        </w:trPr>
        <w:tc>
          <w:tcPr>
            <w:tcW w:w="3176"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2169"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Серен диоксид, азотен диоксид и азотни оксиди и въглероден оксид</w:t>
            </w:r>
          </w:p>
        </w:tc>
        <w:tc>
          <w:tcPr>
            <w:tcW w:w="1146"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Бензен</w:t>
            </w:r>
            <w:proofErr w:type="spellEnd"/>
          </w:p>
        </w:tc>
        <w:tc>
          <w:tcPr>
            <w:tcW w:w="2135"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ФПЧ (ФПЧ</w:t>
            </w:r>
            <w:r>
              <w:rPr>
                <w:rFonts w:ascii="Arial" w:eastAsia="Times New Roman" w:hAnsi="Arial" w:cs="Arial"/>
                <w:highlight w:val="white"/>
                <w:shd w:val="clear" w:color="auto" w:fill="FEFEFE"/>
                <w:vertAlign w:val="subscript"/>
              </w:rPr>
              <w:t>10</w:t>
            </w:r>
            <w:r>
              <w:rPr>
                <w:rFonts w:ascii="Arial" w:eastAsia="Times New Roman" w:hAnsi="Arial" w:cs="Arial"/>
                <w:highlight w:val="white"/>
                <w:shd w:val="clear" w:color="auto" w:fill="FEFEFE"/>
              </w:rPr>
              <w:t>/ФПЧ</w:t>
            </w:r>
            <w:r>
              <w:rPr>
                <w:rFonts w:ascii="Arial" w:eastAsia="Times New Roman" w:hAnsi="Arial" w:cs="Arial"/>
                <w:highlight w:val="white"/>
                <w:shd w:val="clear" w:color="auto" w:fill="FEFEFE"/>
                <w:vertAlign w:val="subscript"/>
              </w:rPr>
              <w:t>2,5</w:t>
            </w:r>
            <w:r>
              <w:rPr>
                <w:rFonts w:ascii="Arial" w:eastAsia="Times New Roman" w:hAnsi="Arial" w:cs="Arial"/>
                <w:highlight w:val="white"/>
                <w:shd w:val="clear" w:color="auto" w:fill="FEFEFE"/>
              </w:rPr>
              <w:t>) и олово</w:t>
            </w:r>
          </w:p>
        </w:tc>
        <w:tc>
          <w:tcPr>
            <w:tcW w:w="1740"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Озон и свързани NO и NO</w:t>
            </w:r>
            <w:r>
              <w:rPr>
                <w:rFonts w:ascii="Arial" w:eastAsia="Times New Roman" w:hAnsi="Arial" w:cs="Arial"/>
                <w:highlight w:val="white"/>
                <w:shd w:val="clear" w:color="auto" w:fill="FEFEFE"/>
                <w:vertAlign w:val="subscript"/>
              </w:rPr>
              <w:t>2</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При постоянни измервания </w:t>
            </w:r>
            <w:r>
              <w:rPr>
                <w:rFonts w:ascii="Arial" w:eastAsia="Times New Roman" w:hAnsi="Arial" w:cs="Arial"/>
                <w:highlight w:val="white"/>
                <w:shd w:val="clear" w:color="auto" w:fill="FEFEFE"/>
                <w:vertAlign w:val="superscript"/>
              </w:rPr>
              <w:t>(1)</w:t>
            </w:r>
            <w:r>
              <w:rPr>
                <w:rFonts w:ascii="Arial" w:eastAsia="Times New Roman" w:hAnsi="Arial" w:cs="Arial"/>
                <w:highlight w:val="white"/>
                <w:shd w:val="clear" w:color="auto" w:fill="FEFEFE"/>
              </w:rPr>
              <w:t>:</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Неопределеност</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15 %</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25 %</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25 %</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15 %</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Минимум регистрирани данни</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90 %</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 през лятото</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Минимален времеви обхват:</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75% през зимата</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градски фонов и транспортен</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35 % </w:t>
            </w:r>
            <w:r>
              <w:rPr>
                <w:rFonts w:ascii="Arial" w:eastAsia="Times New Roman" w:hAnsi="Arial" w:cs="Arial"/>
                <w:highlight w:val="white"/>
                <w:shd w:val="clear" w:color="auto" w:fill="FEFEFE"/>
                <w:vertAlign w:val="superscript"/>
              </w:rPr>
              <w:t>(2)</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3176"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промишлен</w:t>
            </w:r>
          </w:p>
        </w:tc>
        <w:tc>
          <w:tcPr>
            <w:tcW w:w="216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114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90 %</w:t>
            </w:r>
          </w:p>
        </w:tc>
        <w:tc>
          <w:tcPr>
            <w:tcW w:w="213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17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При индикативни измервания:</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Неопределеност</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25 %</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30 %</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30 %</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Минимум регистрирани данни</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90 %</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90 %</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90 %</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90 %</w:t>
            </w:r>
          </w:p>
        </w:tc>
      </w:tr>
      <w:tr w:rsidR="00E62D79">
        <w:tblPrEx>
          <w:tblCellMar>
            <w:top w:w="0" w:type="dxa"/>
            <w:bottom w:w="0" w:type="dxa"/>
          </w:tblCellMar>
        </w:tblPrEx>
        <w:trPr>
          <w:trHeight w:val="283"/>
        </w:trPr>
        <w:tc>
          <w:tcPr>
            <w:tcW w:w="3176"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Минимален времеви обхват</w:t>
            </w:r>
          </w:p>
        </w:tc>
        <w:tc>
          <w:tcPr>
            <w:tcW w:w="216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14 % </w:t>
            </w:r>
            <w:r>
              <w:rPr>
                <w:rFonts w:ascii="Arial" w:eastAsia="Times New Roman" w:hAnsi="Arial" w:cs="Arial"/>
                <w:highlight w:val="white"/>
                <w:shd w:val="clear" w:color="auto" w:fill="FEFEFE"/>
                <w:vertAlign w:val="superscript"/>
              </w:rPr>
              <w:t>(4)</w:t>
            </w:r>
          </w:p>
        </w:tc>
        <w:tc>
          <w:tcPr>
            <w:tcW w:w="114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14 % </w:t>
            </w:r>
            <w:r>
              <w:rPr>
                <w:rFonts w:ascii="Arial" w:eastAsia="Times New Roman" w:hAnsi="Arial" w:cs="Arial"/>
                <w:highlight w:val="white"/>
                <w:shd w:val="clear" w:color="auto" w:fill="FEFEFE"/>
                <w:vertAlign w:val="superscript"/>
              </w:rPr>
              <w:t>(3)</w:t>
            </w:r>
          </w:p>
        </w:tc>
        <w:tc>
          <w:tcPr>
            <w:tcW w:w="213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14 % </w:t>
            </w:r>
            <w:r>
              <w:rPr>
                <w:rFonts w:ascii="Arial" w:eastAsia="Times New Roman" w:hAnsi="Arial" w:cs="Arial"/>
                <w:highlight w:val="white"/>
                <w:shd w:val="clear" w:color="auto" w:fill="FEFEFE"/>
                <w:vertAlign w:val="superscript"/>
              </w:rPr>
              <w:t>(4)</w:t>
            </w:r>
          </w:p>
        </w:tc>
        <w:tc>
          <w:tcPr>
            <w:tcW w:w="17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&gt; 10 % през лятото</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Неопределеност при </w:t>
            </w:r>
            <w:proofErr w:type="spellStart"/>
            <w:r>
              <w:rPr>
                <w:rFonts w:ascii="Arial" w:eastAsia="Times New Roman" w:hAnsi="Arial" w:cs="Arial"/>
                <w:highlight w:val="white"/>
                <w:shd w:val="clear" w:color="auto" w:fill="FEFEFE"/>
              </w:rPr>
              <w:t>дисперсионно</w:t>
            </w:r>
            <w:proofErr w:type="spellEnd"/>
            <w:r>
              <w:rPr>
                <w:rFonts w:ascii="Arial" w:eastAsia="Times New Roman" w:hAnsi="Arial" w:cs="Arial"/>
                <w:highlight w:val="white"/>
                <w:shd w:val="clear" w:color="auto" w:fill="FEFEFE"/>
              </w:rPr>
              <w:t xml:space="preserve"> моделиране:</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Средночасови</w:t>
            </w:r>
            <w:proofErr w:type="spellEnd"/>
            <w:r>
              <w:rPr>
                <w:rFonts w:ascii="Arial" w:eastAsia="Times New Roman" w:hAnsi="Arial" w:cs="Arial"/>
                <w:highlight w:val="white"/>
                <w:shd w:val="clear" w:color="auto" w:fill="FEFEFE"/>
              </w:rPr>
              <w:t xml:space="preserve"> стойности</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Осемчасови средни стойности</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w:t>
            </w:r>
          </w:p>
        </w:tc>
      </w:tr>
      <w:tr w:rsidR="00E62D79">
        <w:tblPrEx>
          <w:tblCellMar>
            <w:top w:w="0" w:type="dxa"/>
            <w:bottom w:w="0" w:type="dxa"/>
          </w:tblCellMar>
        </w:tblPrEx>
        <w:trPr>
          <w:trHeight w:val="283"/>
        </w:trPr>
        <w:tc>
          <w:tcPr>
            <w:tcW w:w="3176"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lastRenderedPageBreak/>
              <w:t>Средноденонощни</w:t>
            </w:r>
            <w:proofErr w:type="spellEnd"/>
            <w:r>
              <w:rPr>
                <w:rFonts w:ascii="Arial" w:eastAsia="Times New Roman" w:hAnsi="Arial" w:cs="Arial"/>
                <w:highlight w:val="white"/>
                <w:shd w:val="clear" w:color="auto" w:fill="FEFEFE"/>
              </w:rPr>
              <w:t xml:space="preserve"> стойности</w:t>
            </w:r>
          </w:p>
        </w:tc>
        <w:tc>
          <w:tcPr>
            <w:tcW w:w="2169"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50 %</w:t>
            </w:r>
          </w:p>
        </w:tc>
        <w:tc>
          <w:tcPr>
            <w:tcW w:w="1146"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213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Неопределена към настоящия момент</w:t>
            </w:r>
          </w:p>
        </w:tc>
        <w:tc>
          <w:tcPr>
            <w:tcW w:w="17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3176"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Средногодишни стойности</w:t>
            </w:r>
          </w:p>
        </w:tc>
        <w:tc>
          <w:tcPr>
            <w:tcW w:w="216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30%</w:t>
            </w:r>
          </w:p>
        </w:tc>
        <w:tc>
          <w:tcPr>
            <w:tcW w:w="114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w:t>
            </w:r>
          </w:p>
        </w:tc>
        <w:tc>
          <w:tcPr>
            <w:tcW w:w="213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w:t>
            </w:r>
          </w:p>
        </w:tc>
        <w:tc>
          <w:tcPr>
            <w:tcW w:w="17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r w:rsidR="00E62D79">
        <w:tblPrEx>
          <w:tblCellMar>
            <w:top w:w="0" w:type="dxa"/>
            <w:bottom w:w="0" w:type="dxa"/>
          </w:tblCellMar>
        </w:tblPrEx>
        <w:trPr>
          <w:trHeight w:val="283"/>
        </w:trPr>
        <w:tc>
          <w:tcPr>
            <w:tcW w:w="3176"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Неопределеност при обективна оценка:</w:t>
            </w:r>
          </w:p>
        </w:tc>
        <w:tc>
          <w:tcPr>
            <w:tcW w:w="216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75 %</w:t>
            </w:r>
          </w:p>
        </w:tc>
        <w:tc>
          <w:tcPr>
            <w:tcW w:w="1146"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100 %</w:t>
            </w:r>
          </w:p>
        </w:tc>
        <w:tc>
          <w:tcPr>
            <w:tcW w:w="213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100 %</w:t>
            </w:r>
          </w:p>
        </w:tc>
        <w:tc>
          <w:tcPr>
            <w:tcW w:w="17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75 %</w:t>
            </w:r>
          </w:p>
        </w:tc>
      </w:tr>
    </w:tbl>
    <w:p w:rsidR="00E62D79" w:rsidRDefault="00E62D79">
      <w:pPr>
        <w:rPr>
          <w:rFonts w:eastAsia="Times New Roman"/>
          <w:sz w:val="24"/>
          <w:szCs w:val="24"/>
          <w:highlight w:val="white"/>
          <w:shd w:val="clear" w:color="auto" w:fill="FEFEFE"/>
        </w:rPr>
      </w:pPr>
      <w:r>
        <w:rPr>
          <w:rFonts w:eastAsia="Times New Roman"/>
          <w:sz w:val="24"/>
          <w:szCs w:val="24"/>
          <w:highlight w:val="white"/>
          <w:shd w:val="clear" w:color="auto" w:fill="FEFEFE"/>
        </w:rPr>
        <w:br/>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За измерване нивата на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олово и ФПЧ могат да се прилагат и периодични вместо постоянни измервания, ако се докаже, че неопределеността, включително тази, дължаща се на периодично </w:t>
      </w:r>
      <w:proofErr w:type="spellStart"/>
      <w:r>
        <w:rPr>
          <w:rFonts w:eastAsia="Times New Roman"/>
          <w:sz w:val="24"/>
          <w:szCs w:val="24"/>
          <w:highlight w:val="white"/>
          <w:shd w:val="clear" w:color="auto" w:fill="FEFEFE"/>
        </w:rPr>
        <w:t>пробовземане</w:t>
      </w:r>
      <w:proofErr w:type="spellEnd"/>
      <w:r>
        <w:rPr>
          <w:rFonts w:eastAsia="Times New Roman"/>
          <w:sz w:val="24"/>
          <w:szCs w:val="24"/>
          <w:highlight w:val="white"/>
          <w:shd w:val="clear" w:color="auto" w:fill="FEFEFE"/>
        </w:rPr>
        <w:t>, отговаря на изискванията за качество от 25 % и че времевият обхват остава по-голям от минималния времеви обхват за индикативните измервания. Вземането на проби на случаен принцип трябва да е равномерно разпределено през годината, за да се избегне изопачаване на резултатите. Неопределеността, дължаща се на вземането на проби на случаен принцип, се определя в съответствие с процедурата, заложена в ISO 11222 (2002) "Качество на въздуха - Определяне на неопределеността при измервания за качество на въздуха, осреднени за период от време". Ако за оценяването на изискванията за нормите за нивата на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са използвани измервания на случаен принцип, следва да се оценява 90,4 </w:t>
      </w:r>
      <w:proofErr w:type="spellStart"/>
      <w:r>
        <w:rPr>
          <w:rFonts w:eastAsia="Times New Roman"/>
          <w:sz w:val="24"/>
          <w:szCs w:val="24"/>
          <w:highlight w:val="white"/>
          <w:shd w:val="clear" w:color="auto" w:fill="FEFEFE"/>
        </w:rPr>
        <w:t>перцентил</w:t>
      </w:r>
      <w:proofErr w:type="spellEnd"/>
      <w:r>
        <w:rPr>
          <w:rFonts w:eastAsia="Times New Roman"/>
          <w:sz w:val="24"/>
          <w:szCs w:val="24"/>
          <w:highlight w:val="white"/>
          <w:shd w:val="clear" w:color="auto" w:fill="FEFEFE"/>
        </w:rPr>
        <w:t xml:space="preserve"> (да бъде по-ниска или равна на 50 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xml:space="preserve">) вместо броя на </w:t>
      </w:r>
      <w:proofErr w:type="spellStart"/>
      <w:r>
        <w:rPr>
          <w:rFonts w:eastAsia="Times New Roman"/>
          <w:sz w:val="24"/>
          <w:szCs w:val="24"/>
          <w:highlight w:val="white"/>
          <w:shd w:val="clear" w:color="auto" w:fill="FEFEFE"/>
        </w:rPr>
        <w:t>превишенията</w:t>
      </w:r>
      <w:proofErr w:type="spellEnd"/>
      <w:r>
        <w:rPr>
          <w:rFonts w:eastAsia="Times New Roman"/>
          <w:sz w:val="24"/>
          <w:szCs w:val="24"/>
          <w:highlight w:val="white"/>
          <w:shd w:val="clear" w:color="auto" w:fill="FEFEFE"/>
        </w:rPr>
        <w:t>, който силно се влияе от обхвата на данните.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Разпределени в рамките на годината, за да бъдат представителни за различни условия на климата и трафика.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xml:space="preserve"> Измерване на случаен принцип всяка седмица в продължение на един ден, равномерно разпределено в рамките на годината, или 8 седмици, равномерно разпределени през годината.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(4)</w:t>
      </w:r>
      <w:r>
        <w:rPr>
          <w:rFonts w:eastAsia="Times New Roman"/>
          <w:sz w:val="24"/>
          <w:szCs w:val="24"/>
          <w:highlight w:val="white"/>
          <w:shd w:val="clear" w:color="auto" w:fill="FEFEFE"/>
        </w:rPr>
        <w:t xml:space="preserve"> Измерване на случаен принцип всяка седмица, равномерно разпределено в рамките на годината, или 8 седмици, равномерно разпределени през годината.</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Неопределеността (при 95 % доверителен интервал) на методите за оценка се изчислява в съответствие с принципите на Ръководството на Европейския комитет по стандартизация (CEN) за изразяване на неопределеността на измерванията (ЕNV 13005-1999), методологията на БДС ISO 5725:1994 и насоките, съдържащи с в доклада на CEN "Качество на въздуха - Подход за оценка на неопределеността при референтните методи за измерване" (CR 14377:2002E). Процентите в таблицата са представени за индивидуалните измервания, осреднени за период, отнасящ се до установените норми за нивата на съответните замърсители (или целевата норма при озона), за 95 % доверителен интервал. Неопределеността за постоянните измервания трябва да бъде интерпретирана като приложима в района за съответната норма за нивата на даден замърсител (или целева норма при озона).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Неопределеността при моделиране се определя като максимално отклонение от измерените и изчислените нива на концентрации за 90 % от отделните пунктове за мониторинг за разглеждания период спрямо установените норми за нивата на съответните замърсители (или целевата норма за озона), без да се взема предвид синхронизирането на събитията. Неопределеността при моделиране трябва да бъде интерпретирана като приложима в района за съответната норма за нивата на даден замърсител (или целева норма при озона). Постоянните измервания, които трябва да бъдат подбрани за сравнение с резултатите от моделирането, трябва да бъдат представителни за мащабите, обхванати от модела.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Неопределеността при обективната оценка се определя като максимално отклонение от измерените и изчислените нива на концентрации за разглеждания период спрямо установените норми за нивата на съответните замърсители (или целевата норма при озона), без да се взема предвид синхронизирането на събитията.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Изискванията за минимум регистрирани данни и времеви обхват не включват загубите </w:t>
      </w:r>
      <w:r>
        <w:rPr>
          <w:rFonts w:eastAsia="Times New Roman"/>
          <w:sz w:val="24"/>
          <w:szCs w:val="24"/>
          <w:highlight w:val="white"/>
          <w:shd w:val="clear" w:color="auto" w:fill="FEFEFE"/>
        </w:rPr>
        <w:lastRenderedPageBreak/>
        <w:t>на данни поради редовно калибриране или обичайна поддръжка на приборите.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 Изисквания към резултатите от оценката на КАВ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За районите или агломерациите, в които се използват други източници на информация за допълване на информацията от измерванията или като единствено средство за оценка на КАВ, трябва да се осигури следната информация: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описание на изпълнените дейности по оценката;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използвани специфични методи с препратки към съответните описания на метода;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източници на данни и информация;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описание на резултатите, включително на неопределеността им, и по-конкретно размерите на всяка област или ако е уместно, дължината на пътя в района или агломерацията, около който концентрациите превишават някоя от установените норми за нивата на съответните замърсители, целевата норма или дългосрочната целева норма при озона, заедно с приложимото допустимо отклонение, и на всяка област, в която концентрациите превишават горния или долния оценъчен праг;</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населението, потенциално изложено на нива, превишаващи някоя пределно допустима стойност за опазване на човешкото здраве.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ІІІ. (Изм. - ДВ, бр. 48 от 2017 г., в сила от 16.06.2017 г.) Осигуряване на качество на измерванията за оценката на КАВ: </w:t>
      </w:r>
      <w:proofErr w:type="spellStart"/>
      <w:r>
        <w:rPr>
          <w:rFonts w:eastAsia="Times New Roman"/>
          <w:sz w:val="24"/>
          <w:szCs w:val="24"/>
          <w:highlight w:val="white"/>
          <w:shd w:val="clear" w:color="auto" w:fill="FEFEFE"/>
        </w:rPr>
        <w:t>валидиране</w:t>
      </w:r>
      <w:proofErr w:type="spellEnd"/>
      <w:r>
        <w:rPr>
          <w:rFonts w:eastAsia="Times New Roman"/>
          <w:sz w:val="24"/>
          <w:szCs w:val="24"/>
          <w:highlight w:val="white"/>
          <w:shd w:val="clear" w:color="auto" w:fill="FEFEFE"/>
        </w:rPr>
        <w:t xml:space="preserve"> на данните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За осигуряване точност на измерванията и съответствие със зададените в раздел I Изисквания към качеството на данните за оценка на КАВ следва да бъдат спазени следните изисквания: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w:t>
      </w:r>
      <w:proofErr w:type="spellStart"/>
      <w:r>
        <w:rPr>
          <w:rFonts w:eastAsia="Times New Roman"/>
          <w:sz w:val="24"/>
          <w:szCs w:val="24"/>
          <w:highlight w:val="white"/>
          <w:shd w:val="clear" w:color="auto" w:fill="FEFEFE"/>
        </w:rPr>
        <w:t>1</w:t>
      </w:r>
      <w:proofErr w:type="spellEnd"/>
      <w:r>
        <w:rPr>
          <w:rFonts w:eastAsia="Times New Roman"/>
          <w:sz w:val="24"/>
          <w:szCs w:val="24"/>
          <w:highlight w:val="white"/>
          <w:shd w:val="clear" w:color="auto" w:fill="FEFEFE"/>
        </w:rPr>
        <w:t xml:space="preserve">. всички измервания да са </w:t>
      </w:r>
      <w:proofErr w:type="spellStart"/>
      <w:r>
        <w:rPr>
          <w:rFonts w:eastAsia="Times New Roman"/>
          <w:sz w:val="24"/>
          <w:szCs w:val="24"/>
          <w:highlight w:val="white"/>
          <w:shd w:val="clear" w:color="auto" w:fill="FEFEFE"/>
        </w:rPr>
        <w:t>проследими</w:t>
      </w:r>
      <w:proofErr w:type="spellEnd"/>
      <w:r>
        <w:rPr>
          <w:rFonts w:eastAsia="Times New Roman"/>
          <w:sz w:val="24"/>
          <w:szCs w:val="24"/>
          <w:highlight w:val="white"/>
          <w:shd w:val="clear" w:color="auto" w:fill="FEFEFE"/>
        </w:rPr>
        <w:t xml:space="preserve"> в съответствие с изискванията, формулирани в хармонизирания стандарт за лабораториите за изпитване и калибриране;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да има въведена система за осигуряване и контрол на качеството, предвиждаща редовна поддръжка за осигуряване на постоянна точност на измервателните уреди; системата за осигуряване на качеството трябва да се преглежда при необходимост най-малко веднъж на всеки пет години от съответната национална референтна лаборатория;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да има въведена процедура за осигуряване/контрол на качеството на процеса на събиране и докладване на данните и участие в програмите за осигуряване на качество на измерванията в рамките на Европейския съюз;</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 националните референтни лаборатории към ИАОС да са акредитирани за референтните методи, посочени в приложение № 11 към чл. 17 и 27, най-малко по отношение на тези замърсители, чиито концентрации надхвърлят долния оценъчен праг, съгласно съответния хармонизиран стандарт за лаборатории за изпитване и калибриране, препратка към който е публикувана в "Официален вестник" на Европейския съюз, в съответствие с посоченото в чл. 2, параграф 9 от Регламент (ЕО) № 765/2008 за определяне на изискванията за акредитация и надзор на пазара; лабораториите носят отговорност за координирането на територията на страната на осъществяването на програмите на Европейския съюз за осигуряване на качество, които се организират от Съвместния изследователски център на Европейската комисия, както и координират на национално ниво подходящото използване на референтните методи и доказването на еквивалентност на нереферентните методи; националните референтни лаборатории, които организират провеждането на </w:t>
      </w:r>
      <w:proofErr w:type="spellStart"/>
      <w:r>
        <w:rPr>
          <w:rFonts w:eastAsia="Times New Roman"/>
          <w:sz w:val="24"/>
          <w:szCs w:val="24"/>
          <w:highlight w:val="white"/>
          <w:shd w:val="clear" w:color="auto" w:fill="FEFEFE"/>
        </w:rPr>
        <w:t>междулабораторни</w:t>
      </w:r>
      <w:proofErr w:type="spellEnd"/>
      <w:r>
        <w:rPr>
          <w:rFonts w:eastAsia="Times New Roman"/>
          <w:sz w:val="24"/>
          <w:szCs w:val="24"/>
          <w:highlight w:val="white"/>
          <w:shd w:val="clear" w:color="auto" w:fill="FEFEFE"/>
        </w:rPr>
        <w:t xml:space="preserve"> сравнения (</w:t>
      </w:r>
      <w:proofErr w:type="spellStart"/>
      <w:r>
        <w:rPr>
          <w:rFonts w:eastAsia="Times New Roman"/>
          <w:sz w:val="24"/>
          <w:szCs w:val="24"/>
          <w:highlight w:val="white"/>
          <w:shd w:val="clear" w:color="auto" w:fill="FEFEFE"/>
        </w:rPr>
        <w:t>intercomparison</w:t>
      </w:r>
      <w:proofErr w:type="spellEnd"/>
      <w:r>
        <w:rPr>
          <w:rFonts w:eastAsia="Times New Roman"/>
          <w:sz w:val="24"/>
          <w:szCs w:val="24"/>
          <w:highlight w:val="white"/>
          <w:shd w:val="clear" w:color="auto" w:fill="FEFEFE"/>
        </w:rPr>
        <w:t>) на национално ниво, следва да бъдат акредитирани съгласно съответния хармонизиран стандарт за изпитвания за пригодност;</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1.5. националните референтни лаборатории към ИАОС да вземат участие най-малко веднъж на всеки три години в провежданите в рамките на Европейския съюз програми за осигуряване на качество, организирани от Съвместния изследователски център на Европейската комисия; ако резултатите от това участие са незадоволителни, съответната национална лаборатория следва при следващото си участие в </w:t>
      </w:r>
      <w:proofErr w:type="spellStart"/>
      <w:r>
        <w:rPr>
          <w:rFonts w:eastAsia="Times New Roman"/>
          <w:sz w:val="24"/>
          <w:szCs w:val="24"/>
          <w:highlight w:val="white"/>
          <w:shd w:val="clear" w:color="auto" w:fill="FEFEFE"/>
        </w:rPr>
        <w:t>междулабораторни</w:t>
      </w:r>
      <w:proofErr w:type="spellEnd"/>
      <w:r>
        <w:rPr>
          <w:rFonts w:eastAsia="Times New Roman"/>
          <w:sz w:val="24"/>
          <w:szCs w:val="24"/>
          <w:highlight w:val="white"/>
          <w:shd w:val="clear" w:color="auto" w:fill="FEFEFE"/>
        </w:rPr>
        <w:t xml:space="preserve"> сравнения (</w:t>
      </w:r>
      <w:proofErr w:type="spellStart"/>
      <w:r>
        <w:rPr>
          <w:rFonts w:eastAsia="Times New Roman"/>
          <w:sz w:val="24"/>
          <w:szCs w:val="24"/>
          <w:highlight w:val="white"/>
          <w:shd w:val="clear" w:color="auto" w:fill="FEFEFE"/>
        </w:rPr>
        <w:t>intercomparison</w:t>
      </w:r>
      <w:proofErr w:type="spellEnd"/>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да демонстрира задоволителни коригиращи мерки и да представи доклад за тях в Съвместния изследователски център;</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националните референтни лаборатории към ИАОС да подпомагат дейностите на Европейската мрежа на национални референтни лаборатории, създадена от Комисията.</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9 към чл. 15, ал. 4</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Изисквания към измерванията в извънградски фонови ПМ независимо от концентрацията</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Цели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Целта на тези измервания е да гарантират осигуряването на подходяща информация за фоновите нива. Тази информация е от съществено значение за: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преценка на повишените нива в по-замърсени райони (като например градски фонови, </w:t>
      </w:r>
      <w:proofErr w:type="spellStart"/>
      <w:r>
        <w:rPr>
          <w:rFonts w:eastAsia="Times New Roman"/>
          <w:sz w:val="24"/>
          <w:szCs w:val="24"/>
          <w:highlight w:val="white"/>
          <w:shd w:val="clear" w:color="auto" w:fill="FEFEFE"/>
        </w:rPr>
        <w:t>промишленоориентирани</w:t>
      </w:r>
      <w:proofErr w:type="spellEnd"/>
      <w:r>
        <w:rPr>
          <w:rFonts w:eastAsia="Times New Roman"/>
          <w:sz w:val="24"/>
          <w:szCs w:val="24"/>
          <w:highlight w:val="white"/>
          <w:shd w:val="clear" w:color="auto" w:fill="FEFEFE"/>
        </w:rPr>
        <w:t xml:space="preserve"> и </w:t>
      </w:r>
      <w:proofErr w:type="spellStart"/>
      <w:r>
        <w:rPr>
          <w:rFonts w:eastAsia="Times New Roman"/>
          <w:sz w:val="24"/>
          <w:szCs w:val="24"/>
          <w:highlight w:val="white"/>
          <w:shd w:val="clear" w:color="auto" w:fill="FEFEFE"/>
        </w:rPr>
        <w:t>транспортноориентирани</w:t>
      </w:r>
      <w:proofErr w:type="spellEnd"/>
      <w:r>
        <w:rPr>
          <w:rFonts w:eastAsia="Times New Roman"/>
          <w:sz w:val="24"/>
          <w:szCs w:val="24"/>
          <w:highlight w:val="white"/>
          <w:shd w:val="clear" w:color="auto" w:fill="FEFEFE"/>
        </w:rPr>
        <w:t xml:space="preserve"> ПМ);</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оценка на възможния принос от пренос на замърсители на въздуха на далечни разстояния;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подпомагане на анализа при определяне приноса на източниците;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разбиране на процесите на формиране на специфичните замърсители, като например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увеличаване използването на </w:t>
      </w:r>
      <w:proofErr w:type="spellStart"/>
      <w:r>
        <w:rPr>
          <w:rFonts w:eastAsia="Times New Roman"/>
          <w:sz w:val="24"/>
          <w:szCs w:val="24"/>
          <w:highlight w:val="white"/>
          <w:shd w:val="clear" w:color="auto" w:fill="FEFEFE"/>
        </w:rPr>
        <w:t>дисперсионното</w:t>
      </w:r>
      <w:proofErr w:type="spellEnd"/>
      <w:r>
        <w:rPr>
          <w:rFonts w:eastAsia="Times New Roman"/>
          <w:sz w:val="24"/>
          <w:szCs w:val="24"/>
          <w:highlight w:val="white"/>
          <w:shd w:val="clear" w:color="auto" w:fill="FEFEFE"/>
        </w:rPr>
        <w:t xml:space="preserve"> моделиране, в т.ч. в градските райони.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 Вещества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Измерването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трябва да включва най-малко определяне на общата масова концентрация и концентрациите на съответните химични компоненти в състава на тази фракция. При анализа на състава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като минимум се определят следните химични компоненти: </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17</w:t>
      </w:r>
    </w:p>
    <w:p w:rsidR="00E62D79" w:rsidRDefault="00E62D79">
      <w:pPr>
        <w:rPr>
          <w:rFonts w:eastAsia="Times New Roman"/>
          <w:sz w:val="24"/>
          <w:szCs w:val="24"/>
          <w:highlight w:val="white"/>
          <w:shd w:val="clear" w:color="auto" w:fill="FEFEFE"/>
        </w:rPr>
      </w:pPr>
    </w:p>
    <w:p w:rsidR="00E62D79" w:rsidRDefault="003E7B78" w:rsidP="00BD2702">
      <w:pPr>
        <w:jc w:val="both"/>
        <w:rPr>
          <w:rFonts w:eastAsia="Times New Roman"/>
          <w:sz w:val="24"/>
          <w:szCs w:val="24"/>
          <w:highlight w:val="white"/>
          <w:shd w:val="clear" w:color="auto" w:fill="FEFEFE"/>
        </w:rPr>
      </w:pPr>
      <w:r>
        <w:rPr>
          <w:rFonts w:eastAsia="Times New Roman"/>
          <w:noProof/>
          <w:lang w:val="en-US"/>
        </w:rPr>
        <w:drawing>
          <wp:inline distT="0" distB="0" distL="0" distR="0">
            <wp:extent cx="6724650" cy="457200"/>
            <wp:effectExtent l="0" t="0" r="0" b="0"/>
            <wp:docPr id="2" name="Picture 2" descr="C:\Users\RKandilarova\AppData\Local\Ciela Norma AD\Ciela51\Cache\1b2a56d53f983cd50befee1ab4c29a736dd07e355a30c83a372e9a7ef5b57484_normi2135691821\5554187_DV2010_br058_str45_t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Kandilarova\AppData\Local\Ciela Norma AD\Ciela51\Cache\1b2a56d53f983cd50befee1ab4c29a736dd07e355a30c83a372e9a7ef5b57484_normi2135691821\5554187_DV2010_br058_str45_t17.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724650" cy="457200"/>
                    </a:xfrm>
                    <a:prstGeom prst="rect">
                      <a:avLst/>
                    </a:prstGeom>
                    <a:noFill/>
                    <a:ln>
                      <a:noFill/>
                    </a:ln>
                  </pic:spPr>
                </pic:pic>
              </a:graphicData>
            </a:graphic>
          </wp:inline>
        </w:drawing>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ІІІ. Разполагане</w:t>
      </w:r>
      <w:bookmarkStart w:id="0" w:name="_GoBack"/>
      <w:bookmarkEnd w:id="0"/>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Измерванията трябва да се извършват по-специално в извънградски фонови райони в съответствие с раздели І, ІІ и ІІ на приложение № 6.</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10 към чл. 16</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Цел за ограничаване на експозицията на населението на ФПЧ</w:t>
      </w:r>
      <w:r>
        <w:rPr>
          <w:rFonts w:eastAsia="Times New Roman"/>
          <w:sz w:val="24"/>
          <w:szCs w:val="24"/>
          <w:highlight w:val="white"/>
          <w:shd w:val="clear" w:color="auto" w:fill="FEFEFE"/>
          <w:vertAlign w:val="subscript"/>
        </w:rPr>
        <w:t>2,5</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Раздел I. Показател за средна експозиция (ПСЕ) на населението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Показателят за средна експозиция (в 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се определя въз основа на извършените измервания през три последователни години в градски фонови ПМ считано от 2009 г. и се оценява като средногодишна концентрация, осреднена за всички ПМ, установени съгласно раздел ІІ на приложение № 7. Показателят за средна експозиция за 2011 г. (референтната година) е средната годишна концентрация за 2009, 2010 и 2011 г.</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Показателят за средна експозиция за 2020 г. е средната годишна концентрация за три последователни години, осреднена за всички градски фонови ПМ за 2018, 2019 и 2020 г. ПСЕ се </w:t>
      </w:r>
      <w:r>
        <w:rPr>
          <w:rFonts w:eastAsia="Times New Roman"/>
          <w:sz w:val="24"/>
          <w:szCs w:val="24"/>
          <w:highlight w:val="white"/>
          <w:shd w:val="clear" w:color="auto" w:fill="FEFEFE"/>
        </w:rPr>
        <w:lastRenderedPageBreak/>
        <w:t>използва за проверка изпълнението на целта за ограничаване на експозицията.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Показателят за средна експозиция за 2015 г. е средната годишна концентрация за три последователни години, осреднена за всички градски фонови ПМ за 2013, 2014 и 2015 г. ПСЕ се използва за проверка изпълнението на задължението във връзка с концентрациите на експозицията.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Раздел II. Цел за ограничаване на експозицията</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18</w:t>
      </w:r>
    </w:p>
    <w:p w:rsidR="00E62D79" w:rsidRDefault="00E62D79">
      <w:pPr>
        <w:rPr>
          <w:rFonts w:eastAsia="Times New Roman"/>
          <w:sz w:val="24"/>
          <w:szCs w:val="24"/>
          <w:highlight w:val="white"/>
          <w:shd w:val="clear" w:color="auto" w:fill="FEFEFE"/>
        </w:rPr>
      </w:pPr>
    </w:p>
    <w:tbl>
      <w:tblPr>
        <w:tblW w:w="0" w:type="auto"/>
        <w:tblInd w:w="20" w:type="dxa"/>
        <w:tblLayout w:type="fixed"/>
        <w:tblCellMar>
          <w:left w:w="15" w:type="dxa"/>
          <w:right w:w="15" w:type="dxa"/>
        </w:tblCellMar>
        <w:tblLook w:val="0000" w:firstRow="0" w:lastRow="0" w:firstColumn="0" w:lastColumn="0" w:noHBand="0" w:noVBand="0"/>
      </w:tblPr>
      <w:tblGrid>
        <w:gridCol w:w="2785"/>
        <w:gridCol w:w="3019"/>
        <w:gridCol w:w="3252"/>
      </w:tblGrid>
      <w:tr w:rsidR="00E62D79">
        <w:tblPrEx>
          <w:tblCellMar>
            <w:top w:w="0" w:type="dxa"/>
            <w:bottom w:w="0" w:type="dxa"/>
          </w:tblCellMar>
        </w:tblPrEx>
        <w:trPr>
          <w:trHeight w:val="283"/>
        </w:trPr>
        <w:tc>
          <w:tcPr>
            <w:tcW w:w="5804" w:type="dxa"/>
            <w:gridSpan w:val="2"/>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Цел за ограничаване на експозицията във връзка с ПСЕ през 2011 г.</w:t>
            </w:r>
          </w:p>
        </w:tc>
        <w:tc>
          <w:tcPr>
            <w:tcW w:w="325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Година, към която целта за ограничаване на експозицията следва да бъде постигната</w:t>
            </w:r>
          </w:p>
        </w:tc>
      </w:tr>
      <w:tr w:rsidR="00E62D79">
        <w:tblPrEx>
          <w:tblCellMar>
            <w:top w:w="0" w:type="dxa"/>
            <w:bottom w:w="0" w:type="dxa"/>
          </w:tblCellMar>
        </w:tblPrEx>
        <w:trPr>
          <w:trHeight w:val="283"/>
        </w:trPr>
        <w:tc>
          <w:tcPr>
            <w:tcW w:w="2785"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Първоначална концентрация, µg/m</w:t>
            </w:r>
            <w:r>
              <w:rPr>
                <w:rFonts w:ascii="Arial" w:eastAsia="Times New Roman" w:hAnsi="Arial" w:cs="Arial"/>
                <w:highlight w:val="white"/>
                <w:shd w:val="clear" w:color="auto" w:fill="FEFEFE"/>
                <w:vertAlign w:val="superscript"/>
              </w:rPr>
              <w:t>3</w:t>
            </w:r>
          </w:p>
        </w:tc>
        <w:tc>
          <w:tcPr>
            <w:tcW w:w="3019"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Цел за ограничаване, %</w:t>
            </w:r>
          </w:p>
        </w:tc>
        <w:tc>
          <w:tcPr>
            <w:tcW w:w="3252" w:type="dxa"/>
            <w:vMerge w:val="restart"/>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2020 г.</w:t>
            </w:r>
          </w:p>
        </w:tc>
      </w:tr>
      <w:tr w:rsidR="00E62D79">
        <w:tblPrEx>
          <w:tblCellMar>
            <w:top w:w="0" w:type="dxa"/>
            <w:left w:w="0" w:type="dxa"/>
            <w:bottom w:w="0" w:type="dxa"/>
            <w:right w:w="0" w:type="dxa"/>
          </w:tblCellMar>
        </w:tblPrEx>
        <w:trPr>
          <w:trHeight w:val="283"/>
        </w:trPr>
        <w:tc>
          <w:tcPr>
            <w:tcW w:w="2785"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8,5</w:t>
            </w:r>
          </w:p>
        </w:tc>
        <w:tc>
          <w:tcPr>
            <w:tcW w:w="3019"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0</w:t>
            </w:r>
          </w:p>
        </w:tc>
        <w:tc>
          <w:tcPr>
            <w:tcW w:w="3252" w:type="dxa"/>
            <w:vMerge/>
            <w:tcBorders>
              <w:top w:val="single" w:sz="8" w:space="0" w:color="auto"/>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
        </w:tc>
      </w:tr>
      <w:tr w:rsidR="00E62D79">
        <w:tblPrEx>
          <w:tblCellMar>
            <w:top w:w="0" w:type="dxa"/>
            <w:left w:w="0" w:type="dxa"/>
            <w:bottom w:w="0" w:type="dxa"/>
            <w:right w:w="0" w:type="dxa"/>
          </w:tblCellMar>
        </w:tblPrEx>
        <w:trPr>
          <w:trHeight w:val="283"/>
        </w:trPr>
        <w:tc>
          <w:tcPr>
            <w:tcW w:w="278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&gt; 8,5 - &lt; 13</w:t>
            </w:r>
          </w:p>
        </w:tc>
        <w:tc>
          <w:tcPr>
            <w:tcW w:w="301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w:t>
            </w:r>
          </w:p>
        </w:tc>
        <w:tc>
          <w:tcPr>
            <w:tcW w:w="3252" w:type="dxa"/>
            <w:vMerge/>
            <w:tcBorders>
              <w:top w:val="single" w:sz="8" w:space="0" w:color="auto"/>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
        </w:tc>
      </w:tr>
      <w:tr w:rsidR="00E62D79">
        <w:tblPrEx>
          <w:tblCellMar>
            <w:top w:w="0" w:type="dxa"/>
            <w:left w:w="0" w:type="dxa"/>
            <w:bottom w:w="0" w:type="dxa"/>
            <w:right w:w="0" w:type="dxa"/>
          </w:tblCellMar>
        </w:tblPrEx>
        <w:trPr>
          <w:trHeight w:val="283"/>
        </w:trPr>
        <w:tc>
          <w:tcPr>
            <w:tcW w:w="278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13 - &lt; 18</w:t>
            </w:r>
          </w:p>
        </w:tc>
        <w:tc>
          <w:tcPr>
            <w:tcW w:w="301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15</w:t>
            </w:r>
          </w:p>
        </w:tc>
        <w:tc>
          <w:tcPr>
            <w:tcW w:w="3252" w:type="dxa"/>
            <w:vMerge/>
            <w:tcBorders>
              <w:top w:val="single" w:sz="8" w:space="0" w:color="auto"/>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
        </w:tc>
      </w:tr>
      <w:tr w:rsidR="00E62D79">
        <w:tblPrEx>
          <w:tblCellMar>
            <w:top w:w="0" w:type="dxa"/>
            <w:left w:w="0" w:type="dxa"/>
            <w:bottom w:w="0" w:type="dxa"/>
            <w:right w:w="0" w:type="dxa"/>
          </w:tblCellMar>
        </w:tblPrEx>
        <w:trPr>
          <w:trHeight w:val="283"/>
        </w:trPr>
        <w:tc>
          <w:tcPr>
            <w:tcW w:w="278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18 - &lt; 22</w:t>
            </w:r>
          </w:p>
        </w:tc>
        <w:tc>
          <w:tcPr>
            <w:tcW w:w="301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20</w:t>
            </w:r>
          </w:p>
        </w:tc>
        <w:tc>
          <w:tcPr>
            <w:tcW w:w="3252" w:type="dxa"/>
            <w:vMerge/>
            <w:tcBorders>
              <w:top w:val="single" w:sz="8" w:space="0" w:color="auto"/>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
        </w:tc>
      </w:tr>
      <w:tr w:rsidR="00E62D79">
        <w:tblPrEx>
          <w:tblCellMar>
            <w:top w:w="0" w:type="dxa"/>
            <w:left w:w="0" w:type="dxa"/>
            <w:bottom w:w="0" w:type="dxa"/>
            <w:right w:w="0" w:type="dxa"/>
          </w:tblCellMar>
        </w:tblPrEx>
        <w:trPr>
          <w:trHeight w:val="283"/>
        </w:trPr>
        <w:tc>
          <w:tcPr>
            <w:tcW w:w="278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22</w:t>
            </w:r>
          </w:p>
        </w:tc>
        <w:tc>
          <w:tcPr>
            <w:tcW w:w="3019"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Всички необходими мерки за постигане на 18 µg/m</w:t>
            </w:r>
            <w:r>
              <w:rPr>
                <w:rFonts w:ascii="Arial" w:eastAsia="Times New Roman" w:hAnsi="Arial" w:cs="Arial"/>
                <w:highlight w:val="white"/>
                <w:shd w:val="clear" w:color="auto" w:fill="FEFEFE"/>
                <w:vertAlign w:val="superscript"/>
              </w:rPr>
              <w:t>3</w:t>
            </w:r>
          </w:p>
        </w:tc>
        <w:tc>
          <w:tcPr>
            <w:tcW w:w="3252" w:type="dxa"/>
            <w:vMerge/>
            <w:tcBorders>
              <w:top w:val="single" w:sz="8" w:space="0" w:color="auto"/>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Когато ПСЕ за референтната година е по-малък или равен на 8,5 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целта за ограничаване на експозицията е нула. Целта за ограничаване на експозицията е нула също така и в случаите, когато ПСЕ достигне стойност 8,5 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xml:space="preserve"> по всяко време през периода от 2011 до 2020 г. и се запази на тази стойност или под нея.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Раздел III. Задължение във връзка с концентрациите на експозицията</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19</w:t>
      </w:r>
    </w:p>
    <w:p w:rsidR="00E62D79" w:rsidRDefault="00E62D79">
      <w:pPr>
        <w:rPr>
          <w:rFonts w:eastAsia="Times New Roman"/>
          <w:sz w:val="24"/>
          <w:szCs w:val="24"/>
          <w:highlight w:val="white"/>
          <w:shd w:val="clear" w:color="auto" w:fill="FEFEFE"/>
        </w:rPr>
      </w:pPr>
    </w:p>
    <w:tbl>
      <w:tblPr>
        <w:tblW w:w="9240" w:type="dxa"/>
        <w:tblInd w:w="20" w:type="dxa"/>
        <w:tblLayout w:type="fixed"/>
        <w:tblCellMar>
          <w:left w:w="15" w:type="dxa"/>
          <w:right w:w="15" w:type="dxa"/>
        </w:tblCellMar>
        <w:tblLook w:val="0000" w:firstRow="0" w:lastRow="0" w:firstColumn="0" w:lastColumn="0" w:noHBand="0" w:noVBand="0"/>
      </w:tblPr>
      <w:tblGrid>
        <w:gridCol w:w="4480"/>
        <w:gridCol w:w="4760"/>
      </w:tblGrid>
      <w:tr w:rsidR="00E62D79">
        <w:tblPrEx>
          <w:tblCellMar>
            <w:top w:w="0" w:type="dxa"/>
            <w:bottom w:w="0" w:type="dxa"/>
          </w:tblCellMar>
        </w:tblPrEx>
        <w:trPr>
          <w:trHeight w:val="283"/>
        </w:trPr>
        <w:tc>
          <w:tcPr>
            <w:tcW w:w="4480"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Задължение във връзка с концентрациите на експозицията</w:t>
            </w:r>
          </w:p>
        </w:tc>
        <w:tc>
          <w:tcPr>
            <w:tcW w:w="476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Година, към която задължителната стойност да бъде постигната</w:t>
            </w:r>
          </w:p>
        </w:tc>
      </w:tr>
      <w:tr w:rsidR="00E62D79">
        <w:tblPrEx>
          <w:tblCellMar>
            <w:top w:w="0" w:type="dxa"/>
            <w:bottom w:w="0" w:type="dxa"/>
          </w:tblCellMar>
        </w:tblPrEx>
        <w:trPr>
          <w:trHeight w:val="283"/>
        </w:trPr>
        <w:tc>
          <w:tcPr>
            <w:tcW w:w="4480"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20 µg/m</w:t>
            </w:r>
            <w:r>
              <w:rPr>
                <w:rFonts w:ascii="Arial" w:eastAsia="Times New Roman" w:hAnsi="Arial" w:cs="Arial"/>
                <w:highlight w:val="white"/>
                <w:shd w:val="clear" w:color="auto" w:fill="FEFEFE"/>
                <w:vertAlign w:val="superscript"/>
              </w:rPr>
              <w:t>3</w:t>
            </w:r>
          </w:p>
        </w:tc>
        <w:tc>
          <w:tcPr>
            <w:tcW w:w="4760"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2015 г.</w:t>
            </w:r>
          </w:p>
        </w:tc>
      </w:tr>
    </w:tbl>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11 към чл. 17 и 27</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(Предишно Приложение № 11 към чл. 17, изм. и доп. - ДВ, бр. 48 от 2017 г., в сила от 16.06.2017 г.)</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Референтни методи за оценка на концентрациите на серен диоксид, азотен диоксид и азотни оксиди, ФПЧ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и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въглероден оксид и озон</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(Изм. - ДВ, бр. 48 от 2017 г., в сила от 16.06.2017 г.) Референтни методи за измерване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Метод за измерване на съдържанието на серен диоксид - БДС ЕN 14212:2012 "Качество на атмосферния въздух. Стандартен метод за измерване на концентрацията на серен диоксид с ултравиолетова флуоресценция".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Метод за измерване на съдържанието на азотен диоксид и азотни оксиди - БДС ЕN 14211:2012 "Качество на атмосферния въздух. Стандартен метод за измерване на концентрацията на азотен диоксид и азотен </w:t>
      </w:r>
      <w:proofErr w:type="spellStart"/>
      <w:r>
        <w:rPr>
          <w:rFonts w:eastAsia="Times New Roman"/>
          <w:sz w:val="24"/>
          <w:szCs w:val="24"/>
          <w:highlight w:val="white"/>
          <w:shd w:val="clear" w:color="auto" w:fill="FEFEFE"/>
        </w:rPr>
        <w:t>монооксид</w:t>
      </w:r>
      <w:proofErr w:type="spellEnd"/>
      <w:r>
        <w:rPr>
          <w:rFonts w:eastAsia="Times New Roman"/>
          <w:sz w:val="24"/>
          <w:szCs w:val="24"/>
          <w:highlight w:val="white"/>
          <w:shd w:val="clear" w:color="auto" w:fill="FEFEFE"/>
        </w:rPr>
        <w:t xml:space="preserve"> чрез </w:t>
      </w:r>
      <w:proofErr w:type="spellStart"/>
      <w:r>
        <w:rPr>
          <w:rFonts w:eastAsia="Times New Roman"/>
          <w:sz w:val="24"/>
          <w:szCs w:val="24"/>
          <w:highlight w:val="white"/>
          <w:shd w:val="clear" w:color="auto" w:fill="FEFEFE"/>
        </w:rPr>
        <w:t>хемилуминесценция</w:t>
      </w:r>
      <w:proofErr w:type="spellEnd"/>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 Метод за вземане на проби и измерване на съдържанието на олово: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за вземане на проби - БДС EN 12341:2014 "Атмосферен въздух. Стандартен </w:t>
      </w:r>
      <w:proofErr w:type="spellStart"/>
      <w:r>
        <w:rPr>
          <w:rFonts w:eastAsia="Times New Roman"/>
          <w:sz w:val="24"/>
          <w:szCs w:val="24"/>
          <w:highlight w:val="white"/>
          <w:shd w:val="clear" w:color="auto" w:fill="FEFEFE"/>
        </w:rPr>
        <w:t>гравиметричен</w:t>
      </w:r>
      <w:proofErr w:type="spellEnd"/>
      <w:r>
        <w:rPr>
          <w:rFonts w:eastAsia="Times New Roman"/>
          <w:sz w:val="24"/>
          <w:szCs w:val="24"/>
          <w:highlight w:val="white"/>
          <w:shd w:val="clear" w:color="auto" w:fill="FEFEFE"/>
        </w:rPr>
        <w:t xml:space="preserve"> метод за измерване за определяне на масовата концентрация на суспендирани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PM</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или PM</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за измерване на съдържанието на олово - БДС EN 14902:2006 "Качество на атмосферния въздух. Стандартен метод за измерване на </w:t>
      </w:r>
      <w:proofErr w:type="spellStart"/>
      <w:r>
        <w:rPr>
          <w:rFonts w:eastAsia="Times New Roman"/>
          <w:sz w:val="24"/>
          <w:szCs w:val="24"/>
          <w:highlight w:val="white"/>
          <w:shd w:val="clear" w:color="auto" w:fill="FEFEFE"/>
        </w:rPr>
        <w:t>Pb</w:t>
      </w:r>
      <w:proofErr w:type="spellEnd"/>
      <w:r>
        <w:rPr>
          <w:rFonts w:eastAsia="Times New Roman"/>
          <w:sz w:val="24"/>
          <w:szCs w:val="24"/>
          <w:highlight w:val="white"/>
          <w:shd w:val="clear" w:color="auto" w:fill="FEFEFE"/>
        </w:rPr>
        <w:t xml:space="preserve">, Cd, </w:t>
      </w:r>
      <w:proofErr w:type="spellStart"/>
      <w:r>
        <w:rPr>
          <w:rFonts w:eastAsia="Times New Roman"/>
          <w:sz w:val="24"/>
          <w:szCs w:val="24"/>
          <w:highlight w:val="white"/>
          <w:shd w:val="clear" w:color="auto" w:fill="FEFEFE"/>
        </w:rPr>
        <w:t>As</w:t>
      </w:r>
      <w:proofErr w:type="spellEnd"/>
      <w:r>
        <w:rPr>
          <w:rFonts w:eastAsia="Times New Roman"/>
          <w:sz w:val="24"/>
          <w:szCs w:val="24"/>
          <w:highlight w:val="white"/>
          <w:shd w:val="clear" w:color="auto" w:fill="FEFEFE"/>
        </w:rPr>
        <w:t xml:space="preserve"> и </w:t>
      </w:r>
      <w:proofErr w:type="spellStart"/>
      <w:r>
        <w:rPr>
          <w:rFonts w:eastAsia="Times New Roman"/>
          <w:sz w:val="24"/>
          <w:szCs w:val="24"/>
          <w:highlight w:val="white"/>
          <w:shd w:val="clear" w:color="auto" w:fill="FEFEFE"/>
        </w:rPr>
        <w:t>Ni</w:t>
      </w:r>
      <w:proofErr w:type="spellEnd"/>
      <w:r>
        <w:rPr>
          <w:rFonts w:eastAsia="Times New Roman"/>
          <w:sz w:val="24"/>
          <w:szCs w:val="24"/>
          <w:highlight w:val="white"/>
          <w:shd w:val="clear" w:color="auto" w:fill="FEFEFE"/>
        </w:rPr>
        <w:t xml:space="preserve"> във фракцията PM</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от суспендираните във въздуха частици".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Метод за вземане на проби и измерване на съдържанието на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 БДС EN 12341:2014 "Атмосферен въздух. Стандартен </w:t>
      </w:r>
      <w:proofErr w:type="spellStart"/>
      <w:r>
        <w:rPr>
          <w:rFonts w:eastAsia="Times New Roman"/>
          <w:sz w:val="24"/>
          <w:szCs w:val="24"/>
          <w:highlight w:val="white"/>
          <w:shd w:val="clear" w:color="auto" w:fill="FEFEFE"/>
        </w:rPr>
        <w:t>гравиметричен</w:t>
      </w:r>
      <w:proofErr w:type="spellEnd"/>
      <w:r>
        <w:rPr>
          <w:rFonts w:eastAsia="Times New Roman"/>
          <w:sz w:val="24"/>
          <w:szCs w:val="24"/>
          <w:highlight w:val="white"/>
          <w:shd w:val="clear" w:color="auto" w:fill="FEFEFE"/>
        </w:rPr>
        <w:t xml:space="preserve"> метод за измерване за определяне на масовата концентрация на суспендирани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РМ</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или РМ</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Метод за вземане на проби и измерване на съдържанието на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xml:space="preserve"> - БДС EN 12341:2014 "Атмосферен въздух. Стандартен </w:t>
      </w:r>
      <w:proofErr w:type="spellStart"/>
      <w:r>
        <w:rPr>
          <w:rFonts w:eastAsia="Times New Roman"/>
          <w:sz w:val="24"/>
          <w:szCs w:val="24"/>
          <w:highlight w:val="white"/>
          <w:shd w:val="clear" w:color="auto" w:fill="FEFEFE"/>
        </w:rPr>
        <w:t>гравиметричен</w:t>
      </w:r>
      <w:proofErr w:type="spellEnd"/>
      <w:r>
        <w:rPr>
          <w:rFonts w:eastAsia="Times New Roman"/>
          <w:sz w:val="24"/>
          <w:szCs w:val="24"/>
          <w:highlight w:val="white"/>
          <w:shd w:val="clear" w:color="auto" w:fill="FEFEFE"/>
        </w:rPr>
        <w:t xml:space="preserve"> метод за измерване за определяне на масовата концентрация на суспендирани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РМ</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или РМ</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Метод за вземане на проби и измерване на съдържанието на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 БДС EN 14662-1:2006 "Качество на атмосферния въздух. Стандартен метод за измерване на концентрациите на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Част 1: Вземане на проба с помпа, последвано от </w:t>
      </w:r>
      <w:proofErr w:type="spellStart"/>
      <w:r>
        <w:rPr>
          <w:rFonts w:eastAsia="Times New Roman"/>
          <w:sz w:val="24"/>
          <w:szCs w:val="24"/>
          <w:highlight w:val="white"/>
          <w:shd w:val="clear" w:color="auto" w:fill="FEFEFE"/>
        </w:rPr>
        <w:t>термодесорбция</w:t>
      </w:r>
      <w:proofErr w:type="spellEnd"/>
      <w:r>
        <w:rPr>
          <w:rFonts w:eastAsia="Times New Roman"/>
          <w:sz w:val="24"/>
          <w:szCs w:val="24"/>
          <w:highlight w:val="white"/>
          <w:shd w:val="clear" w:color="auto" w:fill="FEFEFE"/>
        </w:rPr>
        <w:t xml:space="preserve"> и </w:t>
      </w:r>
      <w:proofErr w:type="spellStart"/>
      <w:r>
        <w:rPr>
          <w:rFonts w:eastAsia="Times New Roman"/>
          <w:sz w:val="24"/>
          <w:szCs w:val="24"/>
          <w:highlight w:val="white"/>
          <w:shd w:val="clear" w:color="auto" w:fill="FEFEFE"/>
        </w:rPr>
        <w:t>газхроматография</w:t>
      </w:r>
      <w:proofErr w:type="spellEnd"/>
      <w:r>
        <w:rPr>
          <w:rFonts w:eastAsia="Times New Roman"/>
          <w:sz w:val="24"/>
          <w:szCs w:val="24"/>
          <w:highlight w:val="white"/>
          <w:shd w:val="clear" w:color="auto" w:fill="FEFEFE"/>
        </w:rPr>
        <w:t xml:space="preserve">"; БДС EN 14662-2:2006 "Качество на атмосферния въздух. Стандартен метод за измерване на концентрациите на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Част 2: Вземане на проба с помпа, последвано от </w:t>
      </w:r>
      <w:proofErr w:type="spellStart"/>
      <w:r>
        <w:rPr>
          <w:rFonts w:eastAsia="Times New Roman"/>
          <w:sz w:val="24"/>
          <w:szCs w:val="24"/>
          <w:highlight w:val="white"/>
          <w:shd w:val="clear" w:color="auto" w:fill="FEFEFE"/>
        </w:rPr>
        <w:t>десорбция</w:t>
      </w:r>
      <w:proofErr w:type="spellEnd"/>
      <w:r>
        <w:rPr>
          <w:rFonts w:eastAsia="Times New Roman"/>
          <w:sz w:val="24"/>
          <w:szCs w:val="24"/>
          <w:highlight w:val="white"/>
          <w:shd w:val="clear" w:color="auto" w:fill="FEFEFE"/>
        </w:rPr>
        <w:t xml:space="preserve"> с разтворител и </w:t>
      </w:r>
      <w:proofErr w:type="spellStart"/>
      <w:r>
        <w:rPr>
          <w:rFonts w:eastAsia="Times New Roman"/>
          <w:sz w:val="24"/>
          <w:szCs w:val="24"/>
          <w:highlight w:val="white"/>
          <w:shd w:val="clear" w:color="auto" w:fill="FEFEFE"/>
        </w:rPr>
        <w:t>газхроматография</w:t>
      </w:r>
      <w:proofErr w:type="spellEnd"/>
      <w:r>
        <w:rPr>
          <w:rFonts w:eastAsia="Times New Roman"/>
          <w:sz w:val="24"/>
          <w:szCs w:val="24"/>
          <w:highlight w:val="white"/>
          <w:shd w:val="clear" w:color="auto" w:fill="FEFEFE"/>
        </w:rPr>
        <w:t>"; БДС EN 14662-3:2015 "</w:t>
      </w:r>
      <w:proofErr w:type="spellStart"/>
      <w:r>
        <w:rPr>
          <w:rFonts w:eastAsia="Times New Roman"/>
          <w:sz w:val="24"/>
          <w:szCs w:val="24"/>
          <w:highlight w:val="white"/>
          <w:shd w:val="clear" w:color="auto" w:fill="FEFEFE"/>
        </w:rPr>
        <w:t>Aтмосферен</w:t>
      </w:r>
      <w:proofErr w:type="spellEnd"/>
      <w:r>
        <w:rPr>
          <w:rFonts w:eastAsia="Times New Roman"/>
          <w:sz w:val="24"/>
          <w:szCs w:val="24"/>
          <w:highlight w:val="white"/>
          <w:shd w:val="clear" w:color="auto" w:fill="FEFEFE"/>
        </w:rPr>
        <w:t xml:space="preserve"> въздух. Стандартен метод за измерване на концентрациите на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Част 3: Автоматично вземане на проби с изпомпване чрез </w:t>
      </w:r>
      <w:proofErr w:type="spellStart"/>
      <w:r>
        <w:rPr>
          <w:rFonts w:eastAsia="Times New Roman"/>
          <w:sz w:val="24"/>
          <w:szCs w:val="24"/>
          <w:highlight w:val="white"/>
          <w:shd w:val="clear" w:color="auto" w:fill="FEFEFE"/>
        </w:rPr>
        <w:t>газхроматография</w:t>
      </w:r>
      <w:proofErr w:type="spellEnd"/>
      <w:r>
        <w:rPr>
          <w:rFonts w:eastAsia="Times New Roman"/>
          <w:sz w:val="24"/>
          <w:szCs w:val="24"/>
          <w:highlight w:val="white"/>
          <w:shd w:val="clear" w:color="auto" w:fill="FEFEFE"/>
        </w:rPr>
        <w:t xml:space="preserve"> на място".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Метод за измерване на съдържанието на въглероден оксид - БДС EN 14626:2012 "Качество на атмосферния въздух. Стандартен метод за измерване на концентрацията на въглероден </w:t>
      </w:r>
      <w:proofErr w:type="spellStart"/>
      <w:r>
        <w:rPr>
          <w:rFonts w:eastAsia="Times New Roman"/>
          <w:sz w:val="24"/>
          <w:szCs w:val="24"/>
          <w:highlight w:val="white"/>
          <w:shd w:val="clear" w:color="auto" w:fill="FEFEFE"/>
        </w:rPr>
        <w:t>монооксид</w:t>
      </w:r>
      <w:proofErr w:type="spellEnd"/>
      <w:r>
        <w:rPr>
          <w:rFonts w:eastAsia="Times New Roman"/>
          <w:sz w:val="24"/>
          <w:szCs w:val="24"/>
          <w:highlight w:val="white"/>
          <w:shd w:val="clear" w:color="auto" w:fill="FEFEFE"/>
        </w:rPr>
        <w:t xml:space="preserve"> с </w:t>
      </w:r>
      <w:proofErr w:type="spellStart"/>
      <w:r>
        <w:rPr>
          <w:rFonts w:eastAsia="Times New Roman"/>
          <w:sz w:val="24"/>
          <w:szCs w:val="24"/>
          <w:highlight w:val="white"/>
          <w:shd w:val="clear" w:color="auto" w:fill="FEFEFE"/>
        </w:rPr>
        <w:t>недисперсионна</w:t>
      </w:r>
      <w:proofErr w:type="spellEnd"/>
      <w:r>
        <w:rPr>
          <w:rFonts w:eastAsia="Times New Roman"/>
          <w:sz w:val="24"/>
          <w:szCs w:val="24"/>
          <w:highlight w:val="white"/>
          <w:shd w:val="clear" w:color="auto" w:fill="FEFEFE"/>
        </w:rPr>
        <w:t xml:space="preserve"> инфрачервена спектроскопия".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Метод за измерване на съдържанието на озон - БДС ЕN 14625:2012 "Качество на атмосферния въздух. Стандартен метод за измерване концентрацията на озон с ултравиолетова фотометрия".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 Доказване на идентичност</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Използването на метод, различен от тези по раздел І, е възможно единствено след доказване осигуряването на идентични резултати или за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 всеки друг метод, за който може да се докаже, че е равностоен на референтния. Получените с този метод резултати следва да бъдат коригирани, за да се осигурят резултати, идентични на тези, получени при прилагане на референтния метод.</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 постигане на по-добра съпоставимост на данните и когато е целесъобразно, корекцията се прилага със задна дата към данни от предходни измервания.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ІІІ. Стандартизиране на резултатите от измерванията за оценка на КАВ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Резултатите от измерванията за определяне нивата на газообразните замърсители се изразяват в 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xml:space="preserve">, като обемът се стандартизира при температура 293 °К и налягане 101,3 </w:t>
      </w:r>
      <w:proofErr w:type="spellStart"/>
      <w:r>
        <w:rPr>
          <w:rFonts w:eastAsia="Times New Roman"/>
          <w:sz w:val="24"/>
          <w:szCs w:val="24"/>
          <w:highlight w:val="white"/>
          <w:shd w:val="clear" w:color="auto" w:fill="FEFEFE"/>
        </w:rPr>
        <w:t>kPa</w:t>
      </w:r>
      <w:proofErr w:type="spellEnd"/>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Резултатите от измерванията за определяне нивата на фини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и ФПЧ</w:t>
      </w:r>
      <w:r>
        <w:rPr>
          <w:rFonts w:eastAsia="Times New Roman"/>
          <w:sz w:val="24"/>
          <w:szCs w:val="24"/>
          <w:highlight w:val="white"/>
          <w:shd w:val="clear" w:color="auto" w:fill="FEFEFE"/>
          <w:vertAlign w:val="subscript"/>
        </w:rPr>
        <w:t>2,5</w:t>
      </w:r>
      <w:r>
        <w:rPr>
          <w:rFonts w:eastAsia="Times New Roman"/>
          <w:sz w:val="24"/>
          <w:szCs w:val="24"/>
          <w:highlight w:val="white"/>
          <w:shd w:val="clear" w:color="auto" w:fill="FEFEFE"/>
        </w:rPr>
        <w:t>) и олово се изразяват в 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като обемът не се стандартизира при нормални условия.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ІV. (Изм. - ДВ, бр. 48 от 2017 г., в сила от 16.06.2017 г.) Взаимно признаване на данни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При доказване, че оборудването отговаря на функционалните изисквания на референтните методи, посочени в раздел I, националните референтни лаборатории към ИАОС приемат протоколи от изпитвания, издадени от </w:t>
      </w:r>
      <w:proofErr w:type="spellStart"/>
      <w:r>
        <w:rPr>
          <w:rFonts w:eastAsia="Times New Roman"/>
          <w:sz w:val="24"/>
          <w:szCs w:val="24"/>
          <w:highlight w:val="white"/>
          <w:shd w:val="clear" w:color="auto" w:fill="FEFEFE"/>
        </w:rPr>
        <w:t>изпитвателни</w:t>
      </w:r>
      <w:proofErr w:type="spellEnd"/>
      <w:r>
        <w:rPr>
          <w:rFonts w:eastAsia="Times New Roman"/>
          <w:sz w:val="24"/>
          <w:szCs w:val="24"/>
          <w:highlight w:val="white"/>
          <w:shd w:val="clear" w:color="auto" w:fill="FEFEFE"/>
        </w:rPr>
        <w:t xml:space="preserve"> лаборатории в други държави членки, при условие, че тези лаборатории са акредитирани по съответния хармонизиран стандарт за лаборатории за изпитване и калибриране.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Подробните протоколи от изпитванията и всички резултати от изпитванията следва да са налични в ИАОС и да се предоставят и на други компетентни органи. Протоколите от изпитванията трябва да показват, че оборудването отговаря на всички функционални изисквания, </w:t>
      </w:r>
      <w:r>
        <w:rPr>
          <w:rFonts w:eastAsia="Times New Roman"/>
          <w:sz w:val="24"/>
          <w:szCs w:val="24"/>
          <w:highlight w:val="white"/>
          <w:shd w:val="clear" w:color="auto" w:fill="FEFEFE"/>
        </w:rPr>
        <w:lastRenderedPageBreak/>
        <w:t>включително когато някои условия на околната среда или на площадките за мониторинг са специфични за нашата страна и попадат извън обхвата на условията, за които съответното оборудване вече е изпитано и е получило одобрение на типа в друга държава членка.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V. Методи за оценка чрез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За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на емисиите от неподвижни точкови източници - Методика на МРРБ, МОСВ и МЗ за изчисляване височината на изпускащите устройства, разсейването и очакваните концентрации на замърсяващи вещества в приземния слой (публикувана в Бюлетин "Строителство и архитектура", бр. 7/8 от 1998 г.).</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За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на емисиите от подвижни източници - Методика за определяне разсейването на емисиите на вредни вещества от превозни средства и тяхната концентрация в приземния атмосферен слой, утвърдена със Заповед № РД-994 от 4.08.2003 г. на министъра на околната среда и водите.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За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на емисиите на серен диоксид, азотен диоксид/азотни оксиди, фини </w:t>
      </w:r>
      <w:proofErr w:type="spellStart"/>
      <w:r>
        <w:rPr>
          <w:rFonts w:eastAsia="Times New Roman"/>
          <w:sz w:val="24"/>
          <w:szCs w:val="24"/>
          <w:highlight w:val="white"/>
          <w:shd w:val="clear" w:color="auto" w:fill="FEFEFE"/>
        </w:rPr>
        <w:t>прахови</w:t>
      </w:r>
      <w:proofErr w:type="spellEnd"/>
      <w:r>
        <w:rPr>
          <w:rFonts w:eastAsia="Times New Roman"/>
          <w:sz w:val="24"/>
          <w:szCs w:val="24"/>
          <w:highlight w:val="white"/>
          <w:shd w:val="clear" w:color="auto" w:fill="FEFEFE"/>
        </w:rPr>
        <w:t xml:space="preserve"> частици, олово,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въглероден оксид освен методиките по точки 1 и 2 могат да бъдат използвани и други подходящи методики, утвърдени в световната практика. Такива подходящи методики следва да се използват за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на емисиите от </w:t>
      </w:r>
      <w:proofErr w:type="spellStart"/>
      <w:r>
        <w:rPr>
          <w:rFonts w:eastAsia="Times New Roman"/>
          <w:sz w:val="24"/>
          <w:szCs w:val="24"/>
          <w:highlight w:val="white"/>
          <w:shd w:val="clear" w:color="auto" w:fill="FEFEFE"/>
        </w:rPr>
        <w:t>площни</w:t>
      </w:r>
      <w:proofErr w:type="spellEnd"/>
      <w:r>
        <w:rPr>
          <w:rFonts w:eastAsia="Times New Roman"/>
          <w:sz w:val="24"/>
          <w:szCs w:val="24"/>
          <w:highlight w:val="white"/>
          <w:shd w:val="clear" w:color="auto" w:fill="FEFEFE"/>
        </w:rPr>
        <w:t xml:space="preserve"> неорганизирани източници.</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12 към чл. 20</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Условия за класификация и разполагане на ПМ за оценка нивата на озон</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 Условия за разполагане на постоянните ПМ в </w:t>
      </w:r>
      <w:proofErr w:type="spellStart"/>
      <w:r>
        <w:rPr>
          <w:rFonts w:eastAsia="Times New Roman"/>
          <w:sz w:val="24"/>
          <w:szCs w:val="24"/>
          <w:highlight w:val="white"/>
          <w:shd w:val="clear" w:color="auto" w:fill="FEFEFE"/>
        </w:rPr>
        <w:t>макромащаб</w:t>
      </w:r>
      <w:proofErr w:type="spellEnd"/>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20</w:t>
      </w:r>
    </w:p>
    <w:p w:rsidR="00E62D79" w:rsidRDefault="00E62D79">
      <w:pPr>
        <w:rPr>
          <w:rFonts w:eastAsia="Times New Roman"/>
          <w:sz w:val="24"/>
          <w:szCs w:val="24"/>
          <w:highlight w:val="white"/>
          <w:shd w:val="clear" w:color="auto" w:fill="FEFEFE"/>
        </w:rPr>
      </w:pPr>
    </w:p>
    <w:tbl>
      <w:tblPr>
        <w:tblW w:w="11010" w:type="dxa"/>
        <w:tblInd w:w="20" w:type="dxa"/>
        <w:tblLayout w:type="fixed"/>
        <w:tblCellMar>
          <w:left w:w="15" w:type="dxa"/>
          <w:right w:w="15" w:type="dxa"/>
        </w:tblCellMar>
        <w:tblLook w:val="0000" w:firstRow="0" w:lastRow="0" w:firstColumn="0" w:lastColumn="0" w:noHBand="0" w:noVBand="0"/>
      </w:tblPr>
      <w:tblGrid>
        <w:gridCol w:w="2591"/>
        <w:gridCol w:w="2698"/>
        <w:gridCol w:w="2918"/>
        <w:gridCol w:w="2803"/>
      </w:tblGrid>
      <w:tr w:rsidR="00E62D79">
        <w:tblPrEx>
          <w:tblCellMar>
            <w:top w:w="0" w:type="dxa"/>
            <w:bottom w:w="0" w:type="dxa"/>
          </w:tblCellMar>
        </w:tblPrEx>
        <w:trPr>
          <w:trHeight w:val="283"/>
        </w:trPr>
        <w:tc>
          <w:tcPr>
            <w:tcW w:w="2592"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Вид на ПМ</w:t>
            </w:r>
          </w:p>
        </w:tc>
        <w:tc>
          <w:tcPr>
            <w:tcW w:w="269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Цел на измерванията</w:t>
            </w:r>
          </w:p>
        </w:tc>
        <w:tc>
          <w:tcPr>
            <w:tcW w:w="291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Представителност </w:t>
            </w:r>
            <w:r>
              <w:rPr>
                <w:rFonts w:ascii="Arial" w:eastAsia="Times New Roman" w:hAnsi="Arial" w:cs="Arial"/>
                <w:highlight w:val="white"/>
                <w:shd w:val="clear" w:color="auto" w:fill="FEFEFE"/>
                <w:vertAlign w:val="superscript"/>
              </w:rPr>
              <w:t>(1)</w:t>
            </w:r>
          </w:p>
        </w:tc>
        <w:tc>
          <w:tcPr>
            <w:tcW w:w="280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Условия за разполагане в </w:t>
            </w:r>
            <w:proofErr w:type="spellStart"/>
            <w:r>
              <w:rPr>
                <w:rFonts w:ascii="Arial" w:eastAsia="Times New Roman" w:hAnsi="Arial" w:cs="Arial"/>
                <w:highlight w:val="white"/>
                <w:shd w:val="clear" w:color="auto" w:fill="FEFEFE"/>
              </w:rPr>
              <w:t>макромащаб</w:t>
            </w:r>
            <w:proofErr w:type="spellEnd"/>
          </w:p>
        </w:tc>
      </w:tr>
      <w:tr w:rsidR="00E62D79">
        <w:tblPrEx>
          <w:tblCellMar>
            <w:top w:w="0" w:type="dxa"/>
            <w:bottom w:w="0" w:type="dxa"/>
          </w:tblCellMar>
        </w:tblPrEx>
        <w:trPr>
          <w:trHeight w:val="283"/>
        </w:trPr>
        <w:tc>
          <w:tcPr>
            <w:tcW w:w="2592"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w:t>
            </w:r>
          </w:p>
        </w:tc>
        <w:tc>
          <w:tcPr>
            <w:tcW w:w="2698"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c>
          <w:tcPr>
            <w:tcW w:w="2918"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c>
          <w:tcPr>
            <w:tcW w:w="2803"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w:t>
            </w:r>
          </w:p>
        </w:tc>
      </w:tr>
      <w:tr w:rsidR="00E62D79">
        <w:tblPrEx>
          <w:tblCellMar>
            <w:top w:w="0" w:type="dxa"/>
            <w:bottom w:w="0" w:type="dxa"/>
          </w:tblCellMar>
        </w:tblPrEx>
        <w:trPr>
          <w:trHeight w:val="283"/>
        </w:trPr>
        <w:tc>
          <w:tcPr>
            <w:tcW w:w="2592"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Градски фонов</w:t>
            </w:r>
          </w:p>
        </w:tc>
        <w:tc>
          <w:tcPr>
            <w:tcW w:w="2698"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Опазване на човешкото здраве: оценка на експозицията на озон на градското население, т.е. там, където гъстотата на населението и нивата на озон са относително високи и представителни за цялото население</w:t>
            </w:r>
          </w:p>
        </w:tc>
        <w:tc>
          <w:tcPr>
            <w:tcW w:w="2918"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Няколко квадратни километра</w:t>
            </w:r>
          </w:p>
        </w:tc>
        <w:tc>
          <w:tcPr>
            <w:tcW w:w="2803"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Да се избягва влиянието на локални емисии от превозни средства, бензиностанции и др.;</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Местоположения с добър обмен на въздуха, където могат да се измерят добре смесени нива;</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Примерни местоположения: в жилищни и търговски райони в градовете, в паркове (далеч от дървета), на големи улици или площади с нисък или никакъв автомобилен трафик, на открити площи за образователни, спортни съоръжения или съоръжения за отдих</w:t>
            </w:r>
          </w:p>
        </w:tc>
      </w:tr>
      <w:tr w:rsidR="00E62D79">
        <w:tblPrEx>
          <w:tblCellMar>
            <w:top w:w="0" w:type="dxa"/>
            <w:bottom w:w="0" w:type="dxa"/>
          </w:tblCellMar>
        </w:tblPrEx>
        <w:trPr>
          <w:trHeight w:val="283"/>
        </w:trPr>
        <w:tc>
          <w:tcPr>
            <w:tcW w:w="2592"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Крайградски</w:t>
            </w:r>
          </w:p>
        </w:tc>
        <w:tc>
          <w:tcPr>
            <w:tcW w:w="269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Опазване на човешкото </w:t>
            </w:r>
            <w:r>
              <w:rPr>
                <w:rFonts w:ascii="Arial" w:eastAsia="Times New Roman" w:hAnsi="Arial" w:cs="Arial"/>
                <w:highlight w:val="white"/>
                <w:shd w:val="clear" w:color="auto" w:fill="FEFEFE"/>
              </w:rPr>
              <w:lastRenderedPageBreak/>
              <w:t>здраве и растителността:</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оценка на експозицията на озон на населението  и растителността, разположени в покрайнините на агломерацията, където е вероятно достигането на най-високи нива на озона, на които пряко или непряко е възможно да бъдат изложени населението и растителността</w:t>
            </w:r>
          </w:p>
        </w:tc>
        <w:tc>
          <w:tcPr>
            <w:tcW w:w="291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lastRenderedPageBreak/>
              <w:t xml:space="preserve">Няколко десетки квадратни </w:t>
            </w:r>
            <w:r>
              <w:rPr>
                <w:rFonts w:ascii="Arial" w:eastAsia="Times New Roman" w:hAnsi="Arial" w:cs="Arial"/>
                <w:highlight w:val="white"/>
                <w:shd w:val="clear" w:color="auto" w:fill="FEFEFE"/>
              </w:rPr>
              <w:lastRenderedPageBreak/>
              <w:t>километра</w:t>
            </w:r>
          </w:p>
        </w:tc>
        <w:tc>
          <w:tcPr>
            <w:tcW w:w="280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lastRenderedPageBreak/>
              <w:t xml:space="preserve">На определено разстояние </w:t>
            </w:r>
            <w:r>
              <w:rPr>
                <w:rFonts w:ascii="Arial" w:eastAsia="Times New Roman" w:hAnsi="Arial" w:cs="Arial"/>
                <w:highlight w:val="white"/>
                <w:shd w:val="clear" w:color="auto" w:fill="FEFEFE"/>
              </w:rPr>
              <w:lastRenderedPageBreak/>
              <w:t>от площи с максимални емисии, по посока на вятъра, следвайки основната посока (посоки) на вятъра по време на благоприятни условия за образуване на озон;</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 места, където населението, чувствителните насаждения или природните екосистеми, разположени във външния пояс на агломерацията, са изложени на високи нива на озон;</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Където е уместно, някои крайградски ПМ, също по посока на вятъра откъм площите с максимални емисии, с цел да се определят регионалните фонови нива на озон</w:t>
            </w:r>
          </w:p>
        </w:tc>
      </w:tr>
      <w:tr w:rsidR="00E62D79">
        <w:tblPrEx>
          <w:tblCellMar>
            <w:top w:w="0" w:type="dxa"/>
            <w:bottom w:w="0" w:type="dxa"/>
          </w:tblCellMar>
        </w:tblPrEx>
        <w:trPr>
          <w:trHeight w:val="283"/>
        </w:trPr>
        <w:tc>
          <w:tcPr>
            <w:tcW w:w="2592"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lastRenderedPageBreak/>
              <w:t>Извънградски</w:t>
            </w:r>
          </w:p>
        </w:tc>
        <w:tc>
          <w:tcPr>
            <w:tcW w:w="269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Опазване на човешкото здраве и растителността:</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оценка на експозицията на населението, посевите и природните екосистеми на нива на озон от </w:t>
            </w:r>
            <w:proofErr w:type="spellStart"/>
            <w:r>
              <w:rPr>
                <w:rFonts w:ascii="Arial" w:eastAsia="Times New Roman" w:hAnsi="Arial" w:cs="Arial"/>
                <w:highlight w:val="white"/>
                <w:shd w:val="clear" w:color="auto" w:fill="FEFEFE"/>
              </w:rPr>
              <w:t>подрегионален</w:t>
            </w:r>
            <w:proofErr w:type="spellEnd"/>
            <w:r>
              <w:rPr>
                <w:rFonts w:ascii="Arial" w:eastAsia="Times New Roman" w:hAnsi="Arial" w:cs="Arial"/>
                <w:highlight w:val="white"/>
                <w:shd w:val="clear" w:color="auto" w:fill="FEFEFE"/>
              </w:rPr>
              <w:t xml:space="preserve"> мащаб</w:t>
            </w:r>
          </w:p>
        </w:tc>
        <w:tc>
          <w:tcPr>
            <w:tcW w:w="291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Подрегионални</w:t>
            </w:r>
            <w:proofErr w:type="spellEnd"/>
            <w:r>
              <w:rPr>
                <w:rFonts w:ascii="Arial" w:eastAsia="Times New Roman" w:hAnsi="Arial" w:cs="Arial"/>
                <w:highlight w:val="white"/>
                <w:shd w:val="clear" w:color="auto" w:fill="FEFEFE"/>
              </w:rPr>
              <w:t xml:space="preserve"> нива (няколко стотици квадратни километра)</w:t>
            </w:r>
          </w:p>
        </w:tc>
        <w:tc>
          <w:tcPr>
            <w:tcW w:w="280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ПМ се разполагат в малки селища и/или площи с природни екосистеми, гори или насаждения;</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Представителни за нивата на озона, отдалечени от въздействието на непосредствените локални емисии, като например от промишлени инсталации и пътища;</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 открити площи, но не по върховете на високите планински вериги</w:t>
            </w:r>
          </w:p>
        </w:tc>
      </w:tr>
      <w:tr w:rsidR="00E62D79">
        <w:tblPrEx>
          <w:tblCellMar>
            <w:top w:w="0" w:type="dxa"/>
            <w:bottom w:w="0" w:type="dxa"/>
          </w:tblCellMar>
        </w:tblPrEx>
        <w:trPr>
          <w:trHeight w:val="283"/>
        </w:trPr>
        <w:tc>
          <w:tcPr>
            <w:tcW w:w="2592"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Извънградски фонов</w:t>
            </w:r>
          </w:p>
        </w:tc>
        <w:tc>
          <w:tcPr>
            <w:tcW w:w="2698"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Опазване на човешкото здраве и растителността:</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оценка на експозицията на посевите и природните екосистеми на нива на озон от регионален мащаб, както и експозиция на населението</w:t>
            </w:r>
          </w:p>
        </w:tc>
        <w:tc>
          <w:tcPr>
            <w:tcW w:w="2918"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Регионални/национални/</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континентални нива (от 1000 до 10 000квадратни километра)</w:t>
            </w:r>
          </w:p>
        </w:tc>
        <w:tc>
          <w:tcPr>
            <w:tcW w:w="2803"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ПМ се разполагат в площи с по-ниска гъстота на населението, т.е. природни екосистеми и гори, на разстояние не по-малко от 20 </w:t>
            </w:r>
            <w:proofErr w:type="spellStart"/>
            <w:r>
              <w:rPr>
                <w:rFonts w:ascii="Arial" w:eastAsia="Times New Roman" w:hAnsi="Arial" w:cs="Arial"/>
                <w:highlight w:val="white"/>
                <w:shd w:val="clear" w:color="auto" w:fill="FEFEFE"/>
              </w:rPr>
              <w:t>km</w:t>
            </w:r>
            <w:proofErr w:type="spellEnd"/>
            <w:r>
              <w:rPr>
                <w:rFonts w:ascii="Arial" w:eastAsia="Times New Roman" w:hAnsi="Arial" w:cs="Arial"/>
                <w:highlight w:val="white"/>
                <w:shd w:val="clear" w:color="auto" w:fill="FEFEFE"/>
              </w:rPr>
              <w:t xml:space="preserve"> от градски и промишлени площи и от локални емисии;</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Да се избягват местоположения с благоприятни местни</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условия за формиране на близки до повърхността инверсии, а също и върховете на високите планински вериги;</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Не се препоръчват </w:t>
            </w:r>
            <w:r>
              <w:rPr>
                <w:rFonts w:ascii="Arial" w:eastAsia="Times New Roman" w:hAnsi="Arial" w:cs="Arial"/>
                <w:highlight w:val="white"/>
                <w:shd w:val="clear" w:color="auto" w:fill="FEFEFE"/>
              </w:rPr>
              <w:lastRenderedPageBreak/>
              <w:t xml:space="preserve">крайбрежни площадки с добре изразен дневен </w:t>
            </w:r>
            <w:proofErr w:type="spellStart"/>
            <w:r>
              <w:rPr>
                <w:rFonts w:ascii="Arial" w:eastAsia="Times New Roman" w:hAnsi="Arial" w:cs="Arial"/>
                <w:highlight w:val="white"/>
                <w:shd w:val="clear" w:color="auto" w:fill="FEFEFE"/>
              </w:rPr>
              <w:t>ветрови</w:t>
            </w:r>
            <w:proofErr w:type="spellEnd"/>
            <w:r>
              <w:rPr>
                <w:rFonts w:ascii="Arial" w:eastAsia="Times New Roman" w:hAnsi="Arial" w:cs="Arial"/>
                <w:highlight w:val="white"/>
                <w:shd w:val="clear" w:color="auto" w:fill="FEFEFE"/>
              </w:rPr>
              <w:t xml:space="preserve"> цикъл от местен характер</w:t>
            </w:r>
          </w:p>
        </w:tc>
      </w:tr>
    </w:tbl>
    <w:p w:rsidR="00E62D79" w:rsidRDefault="00E62D79">
      <w:pPr>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br/>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Пунктовете за мониторинг, когато е възможно, следва да са представителни и за сходни райони, които не са в непосредствена близост до тях.</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 извънградски и извънградски фонови ПМ разположението по целесъобразност, се съгласува с изискванията за мониторинг от Регламент (ЕО) № 1737/2006 на Комисията от 7 ноември 2006 г. относно определяне на подробни правила за прилагането на Регламент (EО) № 2152/2003 на Европейския парламент и на Съвета относно мониторинга на горите в Общността и тяхното взаимодействие с околната среда (ОВ L 334, 30.11.2006, стр. 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ІІ. Условия за разполагане в </w:t>
      </w:r>
      <w:proofErr w:type="spellStart"/>
      <w:r>
        <w:rPr>
          <w:rFonts w:eastAsia="Times New Roman"/>
          <w:sz w:val="24"/>
          <w:szCs w:val="24"/>
          <w:highlight w:val="white"/>
          <w:shd w:val="clear" w:color="auto" w:fill="FEFEFE"/>
        </w:rPr>
        <w:t>микромащаб</w:t>
      </w:r>
      <w:proofErr w:type="spellEnd"/>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Доколкото това е практически възможно, се спазват условията за разполагане в </w:t>
      </w:r>
      <w:proofErr w:type="spellStart"/>
      <w:r>
        <w:rPr>
          <w:rFonts w:eastAsia="Times New Roman"/>
          <w:sz w:val="24"/>
          <w:szCs w:val="24"/>
          <w:highlight w:val="white"/>
          <w:shd w:val="clear" w:color="auto" w:fill="FEFEFE"/>
        </w:rPr>
        <w:t>микромащаб</w:t>
      </w:r>
      <w:proofErr w:type="spellEnd"/>
      <w:r>
        <w:rPr>
          <w:rFonts w:eastAsia="Times New Roman"/>
          <w:sz w:val="24"/>
          <w:szCs w:val="24"/>
          <w:highlight w:val="white"/>
          <w:shd w:val="clear" w:color="auto" w:fill="FEFEFE"/>
        </w:rPr>
        <w:t xml:space="preserve"> съгласно раздел ІІІ от приложение № 6, като се гарантира също така, че устройството за вземане на проби е разположено далеч от източници, като например изпускащите устройства на пещи и </w:t>
      </w:r>
      <w:proofErr w:type="spellStart"/>
      <w:r>
        <w:rPr>
          <w:rFonts w:eastAsia="Times New Roman"/>
          <w:sz w:val="24"/>
          <w:szCs w:val="24"/>
          <w:highlight w:val="white"/>
          <w:shd w:val="clear" w:color="auto" w:fill="FEFEFE"/>
        </w:rPr>
        <w:t>инсинератори</w:t>
      </w:r>
      <w:proofErr w:type="spellEnd"/>
      <w:r>
        <w:rPr>
          <w:rFonts w:eastAsia="Times New Roman"/>
          <w:sz w:val="24"/>
          <w:szCs w:val="24"/>
          <w:highlight w:val="white"/>
          <w:shd w:val="clear" w:color="auto" w:fill="FEFEFE"/>
        </w:rPr>
        <w:t>, и на повече от 10 m от най-близко разположения път, с увеличаване на разстоянието пропорционално на интензитета на транспортния трафик.</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ІІІ. Документиране и преглед на избора на площадката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Прилагат се процедурите съгласно раздел ІV от приложение № 6, като се извършват правилно разглеждане и интерпретиране на данните от мониторинга в контекста на метеорологичните и фотохимичните процеси, повлияващи концентрациите на озон, измервани в съответното местоположение.</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13 към чл. 21</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48 от 2017 г., в сила от 16.06.2017 г.)</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Минимален брой ПМ за постоянни измервания на концентрациите на озон</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Минимален брой ПМ за постоянни непрекъснати измервания за оценка на съответствието с краткосрочните целеви норми, дългосрочните целеви норми, информационният и аларменият праг в РОУ, когато тези измервания са единствен източник на информация</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21 (Изм. - ДВ, бр. 48 от 2017 г., в сила от 16.06.2017 г.)</w:t>
      </w:r>
    </w:p>
    <w:p w:rsidR="00E62D79" w:rsidRDefault="00E62D79">
      <w:pPr>
        <w:rPr>
          <w:rFonts w:eastAsia="Times New Roman"/>
          <w:sz w:val="24"/>
          <w:szCs w:val="24"/>
          <w:highlight w:val="white"/>
          <w:shd w:val="clear" w:color="auto" w:fill="FEFEFE"/>
        </w:rPr>
      </w:pPr>
    </w:p>
    <w:tbl>
      <w:tblPr>
        <w:tblW w:w="0" w:type="auto"/>
        <w:tblInd w:w="57" w:type="dxa"/>
        <w:tblLayout w:type="fixed"/>
        <w:tblCellMar>
          <w:left w:w="57" w:type="dxa"/>
          <w:right w:w="57" w:type="dxa"/>
        </w:tblCellMar>
        <w:tblLook w:val="0000" w:firstRow="0" w:lastRow="0" w:firstColumn="0" w:lastColumn="0" w:noHBand="0" w:noVBand="0"/>
      </w:tblPr>
      <w:tblGrid>
        <w:gridCol w:w="1498"/>
        <w:gridCol w:w="1984"/>
        <w:gridCol w:w="2126"/>
        <w:gridCol w:w="2267"/>
      </w:tblGrid>
      <w:tr w:rsidR="00E62D79">
        <w:tblPrEx>
          <w:tblCellMar>
            <w:top w:w="0" w:type="dxa"/>
            <w:bottom w:w="0" w:type="dxa"/>
          </w:tblCellMar>
        </w:tblPrEx>
        <w:trPr>
          <w:trHeight w:val="60"/>
        </w:trPr>
        <w:tc>
          <w:tcPr>
            <w:tcW w:w="1498" w:type="dxa"/>
            <w:tcBorders>
              <w:top w:val="single" w:sz="8" w:space="0" w:color="auto"/>
              <w:left w:val="single" w:sz="8" w:space="0" w:color="auto"/>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Население (Ч1000)</w:t>
            </w:r>
          </w:p>
        </w:tc>
        <w:tc>
          <w:tcPr>
            <w:tcW w:w="1984"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Агломерации (</w:t>
            </w:r>
            <w:r>
              <w:rPr>
                <w:rFonts w:ascii="Arial" w:eastAsia="Times New Roman" w:hAnsi="Arial" w:cs="Arial"/>
                <w:highlight w:val="white"/>
                <w:shd w:val="clear" w:color="auto" w:fill="FEFEFE"/>
                <w:vertAlign w:val="superscript"/>
              </w:rPr>
              <w:t>1</w:t>
            </w:r>
            <w:r>
              <w:rPr>
                <w:rFonts w:ascii="Arial" w:eastAsia="Times New Roman" w:hAnsi="Arial" w:cs="Arial"/>
                <w:highlight w:val="white"/>
                <w:shd w:val="clear" w:color="auto" w:fill="FEFEFE"/>
              </w:rPr>
              <w:t>)</w:t>
            </w:r>
          </w:p>
        </w:tc>
        <w:tc>
          <w:tcPr>
            <w:tcW w:w="2126"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Други райони (</w:t>
            </w:r>
            <w:r>
              <w:rPr>
                <w:rFonts w:ascii="Arial" w:eastAsia="Times New Roman" w:hAnsi="Arial" w:cs="Arial"/>
                <w:highlight w:val="white"/>
                <w:shd w:val="clear" w:color="auto" w:fill="FEFEFE"/>
                <w:vertAlign w:val="superscript"/>
              </w:rPr>
              <w:t>1</w:t>
            </w:r>
            <w:r>
              <w:rPr>
                <w:rFonts w:ascii="Arial" w:eastAsia="Times New Roman" w:hAnsi="Arial" w:cs="Arial"/>
                <w:highlight w:val="white"/>
                <w:shd w:val="clear" w:color="auto" w:fill="FEFEFE"/>
              </w:rPr>
              <w:t>)</w:t>
            </w:r>
          </w:p>
        </w:tc>
        <w:tc>
          <w:tcPr>
            <w:tcW w:w="2267"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Извънградски фон</w:t>
            </w:r>
          </w:p>
        </w:tc>
      </w:tr>
      <w:tr w:rsidR="00E62D79">
        <w:tblPrEx>
          <w:tblCellMar>
            <w:top w:w="0" w:type="dxa"/>
            <w:bottom w:w="0" w:type="dxa"/>
          </w:tblCellMar>
        </w:tblPrEx>
        <w:trPr>
          <w:trHeight w:val="60"/>
        </w:trPr>
        <w:tc>
          <w:tcPr>
            <w:tcW w:w="1498"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&lt; 250</w:t>
            </w:r>
          </w:p>
        </w:tc>
        <w:tc>
          <w:tcPr>
            <w:tcW w:w="1984"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 </w:t>
            </w:r>
          </w:p>
        </w:tc>
        <w:tc>
          <w:tcPr>
            <w:tcW w:w="2126"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1</w:t>
            </w:r>
          </w:p>
        </w:tc>
        <w:tc>
          <w:tcPr>
            <w:tcW w:w="2267" w:type="dxa"/>
            <w:vMerge w:val="restart"/>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ПМ/50 000 km</w:t>
            </w:r>
            <w:r>
              <w:rPr>
                <w:rFonts w:ascii="Arial" w:eastAsia="Times New Roman" w:hAnsi="Arial" w:cs="Arial"/>
                <w:highlight w:val="white"/>
                <w:shd w:val="clear" w:color="auto" w:fill="FEFEFE"/>
                <w:vertAlign w:val="superscript"/>
              </w:rPr>
              <w:t>2</w:t>
            </w:r>
          </w:p>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средна плътност за всички райони в дадена страна (</w:t>
            </w:r>
            <w:r>
              <w:rPr>
                <w:rFonts w:ascii="Arial" w:eastAsia="Times New Roman" w:hAnsi="Arial" w:cs="Arial"/>
                <w:highlight w:val="white"/>
                <w:shd w:val="clear" w:color="auto" w:fill="FEFEFE"/>
                <w:vertAlign w:val="superscript"/>
              </w:rPr>
              <w:t>2</w:t>
            </w:r>
            <w:r>
              <w:rPr>
                <w:rFonts w:ascii="Arial" w:eastAsia="Times New Roman" w:hAnsi="Arial" w:cs="Arial"/>
                <w:highlight w:val="white"/>
                <w:shd w:val="clear" w:color="auto" w:fill="FEFEFE"/>
              </w:rPr>
              <w:t>)</w:t>
            </w:r>
          </w:p>
        </w:tc>
      </w:tr>
      <w:tr w:rsidR="00E62D79">
        <w:tblPrEx>
          <w:tblCellMar>
            <w:top w:w="0" w:type="dxa"/>
            <w:left w:w="0" w:type="dxa"/>
            <w:bottom w:w="0" w:type="dxa"/>
            <w:right w:w="0" w:type="dxa"/>
          </w:tblCellMar>
        </w:tblPrEx>
        <w:trPr>
          <w:trHeight w:val="60"/>
        </w:trPr>
        <w:tc>
          <w:tcPr>
            <w:tcW w:w="1498"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&lt; 500</w:t>
            </w:r>
          </w:p>
        </w:tc>
        <w:tc>
          <w:tcPr>
            <w:tcW w:w="1984"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1</w:t>
            </w:r>
          </w:p>
        </w:tc>
        <w:tc>
          <w:tcPr>
            <w:tcW w:w="2126"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2</w:t>
            </w:r>
          </w:p>
        </w:tc>
        <w:tc>
          <w:tcPr>
            <w:tcW w:w="2267" w:type="dxa"/>
            <w:vMerge/>
            <w:tcBorders>
              <w:top w:val="nil"/>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sz w:val="6"/>
                <w:szCs w:val="6"/>
                <w:highlight w:val="white"/>
                <w:shd w:val="clear" w:color="auto" w:fill="FEFEFE"/>
              </w:rPr>
            </w:pPr>
          </w:p>
        </w:tc>
      </w:tr>
      <w:tr w:rsidR="00E62D79">
        <w:tblPrEx>
          <w:tblCellMar>
            <w:top w:w="0" w:type="dxa"/>
            <w:left w:w="0" w:type="dxa"/>
            <w:bottom w:w="0" w:type="dxa"/>
            <w:right w:w="0" w:type="dxa"/>
          </w:tblCellMar>
        </w:tblPrEx>
        <w:trPr>
          <w:trHeight w:val="60"/>
        </w:trPr>
        <w:tc>
          <w:tcPr>
            <w:tcW w:w="1498"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&lt; 1000</w:t>
            </w:r>
          </w:p>
        </w:tc>
        <w:tc>
          <w:tcPr>
            <w:tcW w:w="1984"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2</w:t>
            </w:r>
          </w:p>
        </w:tc>
        <w:tc>
          <w:tcPr>
            <w:tcW w:w="2126"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2</w:t>
            </w:r>
          </w:p>
        </w:tc>
        <w:tc>
          <w:tcPr>
            <w:tcW w:w="2267" w:type="dxa"/>
            <w:vMerge/>
            <w:tcBorders>
              <w:top w:val="nil"/>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sz w:val="6"/>
                <w:szCs w:val="6"/>
                <w:highlight w:val="white"/>
                <w:shd w:val="clear" w:color="auto" w:fill="FEFEFE"/>
              </w:rPr>
            </w:pPr>
          </w:p>
        </w:tc>
      </w:tr>
      <w:tr w:rsidR="00E62D79">
        <w:tblPrEx>
          <w:tblCellMar>
            <w:top w:w="0" w:type="dxa"/>
            <w:left w:w="0" w:type="dxa"/>
            <w:bottom w:w="0" w:type="dxa"/>
            <w:right w:w="0" w:type="dxa"/>
          </w:tblCellMar>
        </w:tblPrEx>
        <w:trPr>
          <w:trHeight w:val="60"/>
        </w:trPr>
        <w:tc>
          <w:tcPr>
            <w:tcW w:w="1498"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&lt; 1500</w:t>
            </w:r>
          </w:p>
        </w:tc>
        <w:tc>
          <w:tcPr>
            <w:tcW w:w="1984"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3</w:t>
            </w:r>
          </w:p>
        </w:tc>
        <w:tc>
          <w:tcPr>
            <w:tcW w:w="2126"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3</w:t>
            </w:r>
          </w:p>
        </w:tc>
        <w:tc>
          <w:tcPr>
            <w:tcW w:w="2267" w:type="dxa"/>
            <w:vMerge/>
            <w:tcBorders>
              <w:top w:val="nil"/>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sz w:val="6"/>
                <w:szCs w:val="6"/>
                <w:highlight w:val="white"/>
                <w:shd w:val="clear" w:color="auto" w:fill="FEFEFE"/>
              </w:rPr>
            </w:pPr>
          </w:p>
        </w:tc>
      </w:tr>
      <w:tr w:rsidR="00E62D79">
        <w:tblPrEx>
          <w:tblCellMar>
            <w:top w:w="0" w:type="dxa"/>
            <w:left w:w="0" w:type="dxa"/>
            <w:bottom w:w="0" w:type="dxa"/>
            <w:right w:w="0" w:type="dxa"/>
          </w:tblCellMar>
        </w:tblPrEx>
        <w:trPr>
          <w:trHeight w:val="60"/>
        </w:trPr>
        <w:tc>
          <w:tcPr>
            <w:tcW w:w="1498"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&lt; 2000</w:t>
            </w:r>
          </w:p>
        </w:tc>
        <w:tc>
          <w:tcPr>
            <w:tcW w:w="1984"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3</w:t>
            </w:r>
          </w:p>
        </w:tc>
        <w:tc>
          <w:tcPr>
            <w:tcW w:w="2126"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4</w:t>
            </w:r>
          </w:p>
        </w:tc>
        <w:tc>
          <w:tcPr>
            <w:tcW w:w="2267" w:type="dxa"/>
            <w:vMerge/>
            <w:tcBorders>
              <w:top w:val="nil"/>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sz w:val="6"/>
                <w:szCs w:val="6"/>
                <w:highlight w:val="white"/>
                <w:shd w:val="clear" w:color="auto" w:fill="FEFEFE"/>
              </w:rPr>
            </w:pPr>
          </w:p>
        </w:tc>
      </w:tr>
      <w:tr w:rsidR="00E62D79">
        <w:tblPrEx>
          <w:tblCellMar>
            <w:top w:w="0" w:type="dxa"/>
            <w:left w:w="0" w:type="dxa"/>
            <w:bottom w:w="0" w:type="dxa"/>
            <w:right w:w="0" w:type="dxa"/>
          </w:tblCellMar>
        </w:tblPrEx>
        <w:trPr>
          <w:trHeight w:val="60"/>
        </w:trPr>
        <w:tc>
          <w:tcPr>
            <w:tcW w:w="1498"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&lt; 2750</w:t>
            </w:r>
          </w:p>
        </w:tc>
        <w:tc>
          <w:tcPr>
            <w:tcW w:w="1984"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4</w:t>
            </w:r>
          </w:p>
        </w:tc>
        <w:tc>
          <w:tcPr>
            <w:tcW w:w="2126"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5</w:t>
            </w:r>
          </w:p>
        </w:tc>
        <w:tc>
          <w:tcPr>
            <w:tcW w:w="2267" w:type="dxa"/>
            <w:vMerge/>
            <w:tcBorders>
              <w:top w:val="nil"/>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sz w:val="6"/>
                <w:szCs w:val="6"/>
                <w:highlight w:val="white"/>
                <w:shd w:val="clear" w:color="auto" w:fill="FEFEFE"/>
              </w:rPr>
            </w:pPr>
          </w:p>
        </w:tc>
      </w:tr>
      <w:tr w:rsidR="00E62D79">
        <w:tblPrEx>
          <w:tblCellMar>
            <w:top w:w="0" w:type="dxa"/>
            <w:left w:w="0" w:type="dxa"/>
            <w:bottom w:w="0" w:type="dxa"/>
            <w:right w:w="0" w:type="dxa"/>
          </w:tblCellMar>
        </w:tblPrEx>
        <w:trPr>
          <w:trHeight w:val="60"/>
        </w:trPr>
        <w:tc>
          <w:tcPr>
            <w:tcW w:w="1498"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&lt; 3750</w:t>
            </w:r>
          </w:p>
        </w:tc>
        <w:tc>
          <w:tcPr>
            <w:tcW w:w="1984"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5</w:t>
            </w:r>
          </w:p>
        </w:tc>
        <w:tc>
          <w:tcPr>
            <w:tcW w:w="2126"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6</w:t>
            </w:r>
          </w:p>
        </w:tc>
        <w:tc>
          <w:tcPr>
            <w:tcW w:w="2267" w:type="dxa"/>
            <w:vMerge/>
            <w:tcBorders>
              <w:top w:val="nil"/>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sz w:val="6"/>
                <w:szCs w:val="6"/>
                <w:highlight w:val="white"/>
                <w:shd w:val="clear" w:color="auto" w:fill="FEFEFE"/>
              </w:rPr>
            </w:pPr>
          </w:p>
        </w:tc>
      </w:tr>
      <w:tr w:rsidR="00E62D79">
        <w:tblPrEx>
          <w:tblCellMar>
            <w:top w:w="0" w:type="dxa"/>
            <w:left w:w="0" w:type="dxa"/>
            <w:bottom w:w="0" w:type="dxa"/>
            <w:right w:w="0" w:type="dxa"/>
          </w:tblCellMar>
        </w:tblPrEx>
        <w:trPr>
          <w:trHeight w:val="60"/>
        </w:trPr>
        <w:tc>
          <w:tcPr>
            <w:tcW w:w="1498"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&gt; 3750</w:t>
            </w:r>
          </w:p>
        </w:tc>
        <w:tc>
          <w:tcPr>
            <w:tcW w:w="1984"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t xml:space="preserve">Един допълнителен </w:t>
            </w:r>
            <w:r>
              <w:rPr>
                <w:rFonts w:ascii="Arial" w:eastAsia="Times New Roman" w:hAnsi="Arial" w:cs="Arial"/>
                <w:highlight w:val="white"/>
                <w:shd w:val="clear" w:color="auto" w:fill="FEFEFE"/>
              </w:rPr>
              <w:lastRenderedPageBreak/>
              <w:t>ПМ на 2 милиона жители</w:t>
            </w:r>
          </w:p>
        </w:tc>
        <w:tc>
          <w:tcPr>
            <w:tcW w:w="2126" w:type="dxa"/>
            <w:tcBorders>
              <w:top w:val="nil"/>
              <w:left w:val="nil"/>
              <w:bottom w:val="single" w:sz="8" w:space="0" w:color="auto"/>
              <w:right w:val="single" w:sz="8" w:space="0" w:color="auto"/>
            </w:tcBorders>
            <w:shd w:val="clear" w:color="auto" w:fill="FEFEFE"/>
            <w:tcMar>
              <w:top w:w="60" w:type="dxa"/>
              <w:bottom w:w="0" w:type="dxa"/>
            </w:tcMar>
            <w:vAlign w:val="center"/>
          </w:tcPr>
          <w:p w:rsidR="00E62D79" w:rsidRDefault="00E62D79">
            <w:pPr>
              <w:spacing w:before="100" w:beforeAutospacing="1" w:after="100" w:afterAutospacing="1"/>
              <w:jc w:val="center"/>
              <w:rPr>
                <w:rFonts w:ascii="Arial" w:eastAsia="Times New Roman" w:hAnsi="Arial" w:cs="Arial"/>
                <w:sz w:val="6"/>
                <w:szCs w:val="6"/>
                <w:highlight w:val="white"/>
                <w:shd w:val="clear" w:color="auto" w:fill="FEFEFE"/>
              </w:rPr>
            </w:pPr>
            <w:r>
              <w:rPr>
                <w:rFonts w:ascii="Arial" w:eastAsia="Times New Roman" w:hAnsi="Arial" w:cs="Arial"/>
                <w:highlight w:val="white"/>
                <w:shd w:val="clear" w:color="auto" w:fill="FEFEFE"/>
              </w:rPr>
              <w:lastRenderedPageBreak/>
              <w:t xml:space="preserve">Един допълнителен </w:t>
            </w:r>
            <w:r>
              <w:rPr>
                <w:rFonts w:ascii="Arial" w:eastAsia="Times New Roman" w:hAnsi="Arial" w:cs="Arial"/>
                <w:highlight w:val="white"/>
                <w:shd w:val="clear" w:color="auto" w:fill="FEFEFE"/>
              </w:rPr>
              <w:lastRenderedPageBreak/>
              <w:t>ПМ на 2 милиона жители</w:t>
            </w:r>
          </w:p>
        </w:tc>
        <w:tc>
          <w:tcPr>
            <w:tcW w:w="2267" w:type="dxa"/>
            <w:vMerge/>
            <w:tcBorders>
              <w:top w:val="nil"/>
              <w:left w:val="nil"/>
              <w:bottom w:val="single" w:sz="8" w:space="0" w:color="auto"/>
              <w:right w:val="single" w:sz="8" w:space="0" w:color="auto"/>
            </w:tcBorders>
            <w:shd w:val="clear" w:color="auto" w:fill="FEFEFE"/>
            <w:vAlign w:val="center"/>
          </w:tcPr>
          <w:p w:rsidR="00E62D79" w:rsidRDefault="00E62D79">
            <w:pPr>
              <w:spacing w:before="100" w:beforeAutospacing="1" w:after="100" w:afterAutospacing="1"/>
              <w:rPr>
                <w:rFonts w:ascii="Arial" w:eastAsia="Times New Roman" w:hAnsi="Arial" w:cs="Arial"/>
                <w:sz w:val="6"/>
                <w:szCs w:val="6"/>
                <w:highlight w:val="white"/>
                <w:shd w:val="clear" w:color="auto" w:fill="FEFEFE"/>
              </w:rPr>
            </w:pP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Най-малко 1 ПМ в райони, където е вероятно да възникнат най-високи концентрации на озон. В агломерациите най-малко 50 % от ПМ се разполагат в крайградски райони.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При сложен терен се препоръчва 1 ПМ на 25 000 km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 Минимален брой ПМ за постоянни измервания в РОУ, където ДЦН са постигнати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Броят на ПМ за измерване на нивата на озон в съчетание с други средства за допълнителна оценка, като </w:t>
      </w:r>
      <w:proofErr w:type="spellStart"/>
      <w:r>
        <w:rPr>
          <w:rFonts w:eastAsia="Times New Roman"/>
          <w:sz w:val="24"/>
          <w:szCs w:val="24"/>
          <w:highlight w:val="white"/>
          <w:shd w:val="clear" w:color="auto" w:fill="FEFEFE"/>
        </w:rPr>
        <w:t>дисперсионно</w:t>
      </w:r>
      <w:proofErr w:type="spellEnd"/>
      <w:r>
        <w:rPr>
          <w:rFonts w:eastAsia="Times New Roman"/>
          <w:sz w:val="24"/>
          <w:szCs w:val="24"/>
          <w:highlight w:val="white"/>
          <w:shd w:val="clear" w:color="auto" w:fill="FEFEFE"/>
        </w:rPr>
        <w:t xml:space="preserve"> моделиране на КАВ и измервания на азотния диоксид в същите ПМ, трябва да е достатъчен за изследване на тенденциите при замърсяване с озон и адекватна проверка на съответствието с ДЦН.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Броят на ПМ, разположени в агломерациите и останалите райони, може да бъде намален до една трета от броя, посочен в раздел І.</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Където информацията от ПМ е единственият източник на информация, се запазва най-малко един ПМ.</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 РОУ без нито един ПМ за определяне на нивата на озон следва да се извърши координиране на получените с допълнителни средства резултати с резултатите от измерванията от ПМ в съседните РОУ, което да осигурява адекватна оценка на концентрациите на озон спрямо ДЦН.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Броят на ПМ в извънградските фонови райони е не по-малко от 1 на 100 000 km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14 към чл. 26</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Определяне на </w:t>
      </w:r>
      <w:proofErr w:type="spellStart"/>
      <w:r>
        <w:rPr>
          <w:rFonts w:eastAsia="Times New Roman"/>
          <w:sz w:val="24"/>
          <w:szCs w:val="24"/>
          <w:highlight w:val="white"/>
          <w:shd w:val="clear" w:color="auto" w:fill="FEFEFE"/>
        </w:rPr>
        <w:t>прекурсорите</w:t>
      </w:r>
      <w:proofErr w:type="spellEnd"/>
      <w:r>
        <w:rPr>
          <w:rFonts w:eastAsia="Times New Roman"/>
          <w:sz w:val="24"/>
          <w:szCs w:val="24"/>
          <w:highlight w:val="white"/>
          <w:shd w:val="clear" w:color="auto" w:fill="FEFEFE"/>
        </w:rPr>
        <w:t xml:space="preserve"> на озон</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Цели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Главните цели на тези измервания са: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да се анализира тенденцията при веществата </w:t>
      </w:r>
      <w:proofErr w:type="spellStart"/>
      <w:r>
        <w:rPr>
          <w:rFonts w:eastAsia="Times New Roman"/>
          <w:sz w:val="24"/>
          <w:szCs w:val="24"/>
          <w:highlight w:val="white"/>
          <w:shd w:val="clear" w:color="auto" w:fill="FEFEFE"/>
        </w:rPr>
        <w:t>прекурсори</w:t>
      </w:r>
      <w:proofErr w:type="spellEnd"/>
      <w:r>
        <w:rPr>
          <w:rFonts w:eastAsia="Times New Roman"/>
          <w:sz w:val="24"/>
          <w:szCs w:val="24"/>
          <w:highlight w:val="white"/>
          <w:shd w:val="clear" w:color="auto" w:fill="FEFEFE"/>
        </w:rPr>
        <w:t xml:space="preserve"> на озон;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да се провери ефективността на стратегиите за намаляване на емисиите;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да се провери състоятелността на инвентаризацията на емисиите;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да се определи зависимостта на концентрациите на озон от източниците на емисии на </w:t>
      </w:r>
      <w:proofErr w:type="spellStart"/>
      <w:r>
        <w:rPr>
          <w:rFonts w:eastAsia="Times New Roman"/>
          <w:sz w:val="24"/>
          <w:szCs w:val="24"/>
          <w:highlight w:val="white"/>
          <w:shd w:val="clear" w:color="auto" w:fill="FEFEFE"/>
        </w:rPr>
        <w:t>прекурсори</w:t>
      </w:r>
      <w:proofErr w:type="spellEnd"/>
      <w:r>
        <w:rPr>
          <w:rFonts w:eastAsia="Times New Roman"/>
          <w:sz w:val="24"/>
          <w:szCs w:val="24"/>
          <w:highlight w:val="white"/>
          <w:shd w:val="clear" w:color="auto" w:fill="FEFEFE"/>
        </w:rPr>
        <w:t xml:space="preserve"> на озон.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Допълнителна цел е по-доброто разбиране на процесите на образуване на озон и дисперсията на неговите </w:t>
      </w:r>
      <w:proofErr w:type="spellStart"/>
      <w:r>
        <w:rPr>
          <w:rFonts w:eastAsia="Times New Roman"/>
          <w:sz w:val="24"/>
          <w:szCs w:val="24"/>
          <w:highlight w:val="white"/>
          <w:shd w:val="clear" w:color="auto" w:fill="FEFEFE"/>
        </w:rPr>
        <w:t>прекурсори</w:t>
      </w:r>
      <w:proofErr w:type="spellEnd"/>
      <w:r>
        <w:rPr>
          <w:rFonts w:eastAsia="Times New Roman"/>
          <w:sz w:val="24"/>
          <w:szCs w:val="24"/>
          <w:highlight w:val="white"/>
          <w:shd w:val="clear" w:color="auto" w:fill="FEFEFE"/>
        </w:rPr>
        <w:t>, включително осигуряване възможността за прилагане на подходящи фотохимични модели, разработени за целта.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ІІ. </w:t>
      </w:r>
      <w:proofErr w:type="spellStart"/>
      <w:r>
        <w:rPr>
          <w:rFonts w:eastAsia="Times New Roman"/>
          <w:sz w:val="24"/>
          <w:szCs w:val="24"/>
          <w:highlight w:val="white"/>
          <w:shd w:val="clear" w:color="auto" w:fill="FEFEFE"/>
        </w:rPr>
        <w:t>Прекурсори</w:t>
      </w:r>
      <w:proofErr w:type="spellEnd"/>
      <w:r>
        <w:rPr>
          <w:rFonts w:eastAsia="Times New Roman"/>
          <w:sz w:val="24"/>
          <w:szCs w:val="24"/>
          <w:highlight w:val="white"/>
          <w:shd w:val="clear" w:color="auto" w:fill="FEFEFE"/>
        </w:rPr>
        <w:t xml:space="preserve"> на озон, нивата на които следва да бъдат измервани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Измерването на </w:t>
      </w:r>
      <w:proofErr w:type="spellStart"/>
      <w:r>
        <w:rPr>
          <w:rFonts w:eastAsia="Times New Roman"/>
          <w:sz w:val="24"/>
          <w:szCs w:val="24"/>
          <w:highlight w:val="white"/>
          <w:shd w:val="clear" w:color="auto" w:fill="FEFEFE"/>
        </w:rPr>
        <w:t>прекурсорите</w:t>
      </w:r>
      <w:proofErr w:type="spellEnd"/>
      <w:r>
        <w:rPr>
          <w:rFonts w:eastAsia="Times New Roman"/>
          <w:sz w:val="24"/>
          <w:szCs w:val="24"/>
          <w:highlight w:val="white"/>
          <w:shd w:val="clear" w:color="auto" w:fill="FEFEFE"/>
        </w:rPr>
        <w:t xml:space="preserve"> на озон трябва да включва най-малко азотните оксиди (NO и NO</w:t>
      </w:r>
      <w:r>
        <w:rPr>
          <w:rFonts w:eastAsia="Times New Roman"/>
          <w:sz w:val="24"/>
          <w:szCs w:val="24"/>
          <w:highlight w:val="white"/>
          <w:shd w:val="clear" w:color="auto" w:fill="FEFEFE"/>
          <w:vertAlign w:val="subscript"/>
        </w:rPr>
        <w:t>2</w:t>
      </w:r>
      <w:r>
        <w:rPr>
          <w:rFonts w:eastAsia="Times New Roman"/>
          <w:sz w:val="24"/>
          <w:szCs w:val="24"/>
          <w:highlight w:val="white"/>
          <w:shd w:val="clear" w:color="auto" w:fill="FEFEFE"/>
        </w:rPr>
        <w:t>) и подходящи летливи органични съединения (ЛОС).</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Списък на препоръчваните за измерване ЛОС, които да бъдат определяни количествено:</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22</w:t>
      </w:r>
    </w:p>
    <w:p w:rsidR="00E62D79" w:rsidRDefault="00E62D79">
      <w:pPr>
        <w:rPr>
          <w:rFonts w:eastAsia="Times New Roman"/>
          <w:sz w:val="24"/>
          <w:szCs w:val="24"/>
          <w:highlight w:val="white"/>
          <w:shd w:val="clear" w:color="auto" w:fill="FEFEFE"/>
        </w:rPr>
      </w:pPr>
    </w:p>
    <w:tbl>
      <w:tblPr>
        <w:tblW w:w="9930" w:type="dxa"/>
        <w:tblInd w:w="20" w:type="dxa"/>
        <w:tblLayout w:type="fixed"/>
        <w:tblCellMar>
          <w:left w:w="15" w:type="dxa"/>
          <w:right w:w="15" w:type="dxa"/>
        </w:tblCellMar>
        <w:tblLook w:val="0000" w:firstRow="0" w:lastRow="0" w:firstColumn="0" w:lastColumn="0" w:noHBand="0" w:noVBand="0"/>
      </w:tblPr>
      <w:tblGrid>
        <w:gridCol w:w="2469"/>
        <w:gridCol w:w="2487"/>
        <w:gridCol w:w="2487"/>
        <w:gridCol w:w="2487"/>
      </w:tblGrid>
      <w:tr w:rsidR="00E62D79">
        <w:tblPrEx>
          <w:tblCellMar>
            <w:top w:w="0" w:type="dxa"/>
            <w:bottom w:w="0" w:type="dxa"/>
          </w:tblCellMar>
        </w:tblPrEx>
        <w:trPr>
          <w:trHeight w:val="283"/>
        </w:trPr>
        <w:tc>
          <w:tcPr>
            <w:tcW w:w="2470"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2487"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1-Бутен</w:t>
            </w:r>
          </w:p>
        </w:tc>
        <w:tc>
          <w:tcPr>
            <w:tcW w:w="2487"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Изопрен</w:t>
            </w:r>
            <w:proofErr w:type="spellEnd"/>
          </w:p>
        </w:tc>
        <w:tc>
          <w:tcPr>
            <w:tcW w:w="2487"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Етил </w:t>
            </w:r>
            <w:proofErr w:type="spellStart"/>
            <w:r>
              <w:rPr>
                <w:rFonts w:ascii="Arial" w:eastAsia="Times New Roman" w:hAnsi="Arial" w:cs="Arial"/>
                <w:highlight w:val="white"/>
                <w:shd w:val="clear" w:color="auto" w:fill="FEFEFE"/>
              </w:rPr>
              <w:t>бензен</w:t>
            </w:r>
            <w:proofErr w:type="spellEnd"/>
          </w:p>
        </w:tc>
      </w:tr>
      <w:tr w:rsidR="00E62D79">
        <w:tblPrEx>
          <w:tblCellMar>
            <w:top w:w="0" w:type="dxa"/>
            <w:bottom w:w="0" w:type="dxa"/>
          </w:tblCellMar>
        </w:tblPrEx>
        <w:trPr>
          <w:trHeight w:val="283"/>
        </w:trPr>
        <w:tc>
          <w:tcPr>
            <w:tcW w:w="2470"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Етан</w:t>
            </w:r>
          </w:p>
        </w:tc>
        <w:tc>
          <w:tcPr>
            <w:tcW w:w="248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транс-2-Бутен</w:t>
            </w:r>
          </w:p>
        </w:tc>
        <w:tc>
          <w:tcPr>
            <w:tcW w:w="248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n-Хексан</w:t>
            </w:r>
            <w:proofErr w:type="spellEnd"/>
          </w:p>
        </w:tc>
        <w:tc>
          <w:tcPr>
            <w:tcW w:w="248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m+p-Ксилен</w:t>
            </w:r>
            <w:proofErr w:type="spellEnd"/>
          </w:p>
        </w:tc>
      </w:tr>
      <w:tr w:rsidR="00E62D79">
        <w:tblPrEx>
          <w:tblCellMar>
            <w:top w:w="0" w:type="dxa"/>
            <w:bottom w:w="0" w:type="dxa"/>
          </w:tblCellMar>
        </w:tblPrEx>
        <w:trPr>
          <w:trHeight w:val="283"/>
        </w:trPr>
        <w:tc>
          <w:tcPr>
            <w:tcW w:w="2470"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Етилен</w:t>
            </w:r>
          </w:p>
        </w:tc>
        <w:tc>
          <w:tcPr>
            <w:tcW w:w="248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цис-2-Бутен</w:t>
            </w:r>
          </w:p>
        </w:tc>
        <w:tc>
          <w:tcPr>
            <w:tcW w:w="248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i-Хексан</w:t>
            </w:r>
            <w:proofErr w:type="spellEnd"/>
          </w:p>
        </w:tc>
        <w:tc>
          <w:tcPr>
            <w:tcW w:w="248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o-Ксилен</w:t>
            </w:r>
            <w:proofErr w:type="spellEnd"/>
          </w:p>
        </w:tc>
      </w:tr>
      <w:tr w:rsidR="00E62D79">
        <w:tblPrEx>
          <w:tblCellMar>
            <w:top w:w="0" w:type="dxa"/>
            <w:bottom w:w="0" w:type="dxa"/>
          </w:tblCellMar>
        </w:tblPrEx>
        <w:trPr>
          <w:trHeight w:val="283"/>
        </w:trPr>
        <w:tc>
          <w:tcPr>
            <w:tcW w:w="2470"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Ацетилен</w:t>
            </w:r>
          </w:p>
        </w:tc>
        <w:tc>
          <w:tcPr>
            <w:tcW w:w="2487"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1,3-Бутадиен</w:t>
            </w:r>
          </w:p>
        </w:tc>
        <w:tc>
          <w:tcPr>
            <w:tcW w:w="2487"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n-Хептан</w:t>
            </w:r>
            <w:proofErr w:type="spellEnd"/>
          </w:p>
        </w:tc>
        <w:tc>
          <w:tcPr>
            <w:tcW w:w="2487"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1,2,4-Триметил </w:t>
            </w:r>
            <w:proofErr w:type="spellStart"/>
            <w:r>
              <w:rPr>
                <w:rFonts w:ascii="Arial" w:eastAsia="Times New Roman" w:hAnsi="Arial" w:cs="Arial"/>
                <w:highlight w:val="white"/>
                <w:shd w:val="clear" w:color="auto" w:fill="FEFEFE"/>
              </w:rPr>
              <w:t>бензен</w:t>
            </w:r>
            <w:proofErr w:type="spellEnd"/>
          </w:p>
        </w:tc>
      </w:tr>
      <w:tr w:rsidR="00E62D79">
        <w:tblPrEx>
          <w:tblCellMar>
            <w:top w:w="0" w:type="dxa"/>
            <w:bottom w:w="0" w:type="dxa"/>
          </w:tblCellMar>
        </w:tblPrEx>
        <w:trPr>
          <w:trHeight w:val="283"/>
        </w:trPr>
        <w:tc>
          <w:tcPr>
            <w:tcW w:w="2470"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Пропан</w:t>
            </w:r>
            <w:proofErr w:type="spellEnd"/>
          </w:p>
        </w:tc>
        <w:tc>
          <w:tcPr>
            <w:tcW w:w="2487"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n-Пентан</w:t>
            </w:r>
            <w:proofErr w:type="spellEnd"/>
          </w:p>
        </w:tc>
        <w:tc>
          <w:tcPr>
            <w:tcW w:w="2487"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n-Октан</w:t>
            </w:r>
            <w:proofErr w:type="spellEnd"/>
          </w:p>
        </w:tc>
        <w:tc>
          <w:tcPr>
            <w:tcW w:w="2487"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1,2,3-Триметил </w:t>
            </w:r>
            <w:proofErr w:type="spellStart"/>
            <w:r>
              <w:rPr>
                <w:rFonts w:ascii="Arial" w:eastAsia="Times New Roman" w:hAnsi="Arial" w:cs="Arial"/>
                <w:highlight w:val="white"/>
                <w:shd w:val="clear" w:color="auto" w:fill="FEFEFE"/>
              </w:rPr>
              <w:t>бензен</w:t>
            </w:r>
            <w:proofErr w:type="spellEnd"/>
          </w:p>
        </w:tc>
      </w:tr>
      <w:tr w:rsidR="00E62D79">
        <w:tblPrEx>
          <w:tblCellMar>
            <w:top w:w="0" w:type="dxa"/>
            <w:bottom w:w="0" w:type="dxa"/>
          </w:tblCellMar>
        </w:tblPrEx>
        <w:trPr>
          <w:trHeight w:val="283"/>
        </w:trPr>
        <w:tc>
          <w:tcPr>
            <w:tcW w:w="2470"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lastRenderedPageBreak/>
              <w:t>Пропилен</w:t>
            </w:r>
            <w:proofErr w:type="spellEnd"/>
          </w:p>
        </w:tc>
        <w:tc>
          <w:tcPr>
            <w:tcW w:w="2487"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i-Пентан</w:t>
            </w:r>
            <w:proofErr w:type="spellEnd"/>
          </w:p>
        </w:tc>
        <w:tc>
          <w:tcPr>
            <w:tcW w:w="2487"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i-Октан</w:t>
            </w:r>
            <w:proofErr w:type="spellEnd"/>
          </w:p>
        </w:tc>
        <w:tc>
          <w:tcPr>
            <w:tcW w:w="2487"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1,3,5-Триметил </w:t>
            </w:r>
            <w:proofErr w:type="spellStart"/>
            <w:r>
              <w:rPr>
                <w:rFonts w:ascii="Arial" w:eastAsia="Times New Roman" w:hAnsi="Arial" w:cs="Arial"/>
                <w:highlight w:val="white"/>
                <w:shd w:val="clear" w:color="auto" w:fill="FEFEFE"/>
              </w:rPr>
              <w:t>бензен</w:t>
            </w:r>
            <w:proofErr w:type="spellEnd"/>
          </w:p>
        </w:tc>
      </w:tr>
      <w:tr w:rsidR="00E62D79">
        <w:tblPrEx>
          <w:tblCellMar>
            <w:top w:w="0" w:type="dxa"/>
            <w:bottom w:w="0" w:type="dxa"/>
          </w:tblCellMar>
        </w:tblPrEx>
        <w:trPr>
          <w:trHeight w:val="283"/>
        </w:trPr>
        <w:tc>
          <w:tcPr>
            <w:tcW w:w="2470"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n-Бутан</w:t>
            </w:r>
          </w:p>
        </w:tc>
        <w:tc>
          <w:tcPr>
            <w:tcW w:w="2487"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1-Пентен</w:t>
            </w:r>
          </w:p>
        </w:tc>
        <w:tc>
          <w:tcPr>
            <w:tcW w:w="2487"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Бензен</w:t>
            </w:r>
            <w:proofErr w:type="spellEnd"/>
          </w:p>
        </w:tc>
        <w:tc>
          <w:tcPr>
            <w:tcW w:w="2487"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Формалдехид</w:t>
            </w:r>
            <w:proofErr w:type="spellEnd"/>
          </w:p>
        </w:tc>
      </w:tr>
      <w:tr w:rsidR="00E62D79">
        <w:tblPrEx>
          <w:tblCellMar>
            <w:top w:w="0" w:type="dxa"/>
            <w:bottom w:w="0" w:type="dxa"/>
          </w:tblCellMar>
        </w:tblPrEx>
        <w:trPr>
          <w:trHeight w:val="283"/>
        </w:trPr>
        <w:tc>
          <w:tcPr>
            <w:tcW w:w="2470"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i-Бутан</w:t>
            </w:r>
          </w:p>
        </w:tc>
        <w:tc>
          <w:tcPr>
            <w:tcW w:w="248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2-Пентен</w:t>
            </w:r>
          </w:p>
        </w:tc>
        <w:tc>
          <w:tcPr>
            <w:tcW w:w="248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proofErr w:type="spellStart"/>
            <w:r>
              <w:rPr>
                <w:rFonts w:ascii="Arial" w:eastAsia="Times New Roman" w:hAnsi="Arial" w:cs="Arial"/>
                <w:highlight w:val="white"/>
                <w:shd w:val="clear" w:color="auto" w:fill="FEFEFE"/>
              </w:rPr>
              <w:t>Толуен</w:t>
            </w:r>
            <w:proofErr w:type="spellEnd"/>
          </w:p>
        </w:tc>
        <w:tc>
          <w:tcPr>
            <w:tcW w:w="248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both"/>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Общи неметанови въглеводороди</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Измерванията следва да бъдат правени по-специално в градски или крайградски райони от който и да е ПМ, изграден в съответствие с изискванията на тази наредба и който е подходящ за изпълнение на целите, посочени в раздел І.</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15 към чл. 34, ал. 1, чл. 38, ал. 1 и чл. 40, ал. 2</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Съдържание на програмите за подобряване на КАВ</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 Съдържание на програмите за подобряване на КАВ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Локализация на наднорменото замърсяване: район; град (карта); ПМ (карта, географски координати).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Обща информация: тип на района (градски, промишлен или извънградски район); оценка на замърсената територия (km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и население, експонирано на замърсяването; полезни климатични данни; подходящи топографски данни; достатъчна информация за типа цели, изискващи опазване в района.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Отговорни органи: имена и адреси на лицата, отговорни за разработването и изпълнението на плановете за подобряване.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Характер и оценка на замърсяването: концентрации, наблюдавани през предходни години (преди прилагането на мерките за подобряване); концентрации, измерени от началото на проекта; методи, използвани за оценката.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Произход на замърсяването: списък на главните източници на емисии, причинители на замърсяването (карта); общо количество на емисиите от тези източници (тона/година); информация за замърсяването от други райони.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Анализ на ситуацията: описание на факторите, които са причината за нарушеното КАВ (пренос на замърсители, включително трансграничен, образуване на вторични замърсители и т.н.); информация за възможните мерки за подобряване на КАВ.</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Информация за мерките или проектите за подобряване на КАВ, прилагани и реализирани преди влизането в сила на тази наредба: местни, регионални, национални, международни мерки; наблюдавани ефекти от тези мерки.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Информация за мерките или проектите за подобряване на КАВ, приети след влизане в сила на тази наредба: изготвяне на списък и описание на всички мерки, определени в съответните проекти; график за изпълнението им; оценка на очакваното подобрение на КАВ и на продължителността на периода, необходим за постигане на установените норми.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Информация за мерките или проектите, които са планирани или се проучват с дългосрочна перспектива.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Списък на публикациите, документите, проучванията и т.н., използвани за допълване на информацията.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ІІ. Съдържание на програмите за подобряване на КАВ в случаите на удължаване на крайните срокове за постигане на съответствие с нормите за нивата на азотен диоксид,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xml:space="preserve"> и ФПЧ</w:t>
      </w:r>
      <w:r>
        <w:rPr>
          <w:rFonts w:eastAsia="Times New Roman"/>
          <w:sz w:val="24"/>
          <w:szCs w:val="24"/>
          <w:highlight w:val="white"/>
          <w:shd w:val="clear" w:color="auto" w:fill="FEFEFE"/>
          <w:vertAlign w:val="subscript"/>
        </w:rPr>
        <w:t>10</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Цялата информация, предвидена съгласно раздел І.</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Информация относно етапа на изпълнение на следните директиви: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 Директива 70/220/ЕИО на Съвета от 20 март 1970 г. за сближаване на </w:t>
      </w:r>
      <w:r>
        <w:rPr>
          <w:rFonts w:eastAsia="Times New Roman"/>
          <w:sz w:val="24"/>
          <w:szCs w:val="24"/>
          <w:highlight w:val="white"/>
          <w:shd w:val="clear" w:color="auto" w:fill="FEFEFE"/>
        </w:rPr>
        <w:lastRenderedPageBreak/>
        <w:t xml:space="preserve">законодателствата на държавите членки относно мерките, които трябва да бъдат предприети срещу замърсяването на въздуха от газовете на двигателите на моторните превозни средства </w:t>
      </w: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w:t>
      </w:r>
      <w:proofErr w:type="spellStart"/>
      <w:r>
        <w:rPr>
          <w:rFonts w:eastAsia="Times New Roman"/>
          <w:sz w:val="24"/>
          <w:szCs w:val="24"/>
          <w:highlight w:val="white"/>
          <w:shd w:val="clear" w:color="auto" w:fill="FEFEFE"/>
        </w:rPr>
        <w:t>2</w:t>
      </w:r>
      <w:proofErr w:type="spellEnd"/>
      <w:r>
        <w:rPr>
          <w:rFonts w:eastAsia="Times New Roman"/>
          <w:sz w:val="24"/>
          <w:szCs w:val="24"/>
          <w:highlight w:val="white"/>
          <w:shd w:val="clear" w:color="auto" w:fill="FEFEFE"/>
        </w:rPr>
        <w:t xml:space="preserve">. Директива 94/63/ЕО на Европейския парламент и на Съвета от 20 декември 1994 г. относно ограничаването на емисиите на летливи органични съединения (ЛОС), изпускани при съхранението и превоза на бензини от терминали до бензиностанции </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2.3. Директива 2008/1/ЕО на Европейския парламент и на Съвета от 15 януари 2008 г. за комплексно предотвратяване и контрол на замърсяването </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2.4. Директива 97/68/ЕО на Европейския парламент и на Съвета от 16 декември 1997 г. за сближаване законодателствата на държавите членки във връзка с мерките за ограничаване емисиите на газообразни и прахообразни замърсители от двигатели с вътрешно горене, инсталирани в </w:t>
      </w:r>
      <w:proofErr w:type="spellStart"/>
      <w:r>
        <w:rPr>
          <w:rFonts w:eastAsia="Times New Roman"/>
          <w:sz w:val="24"/>
          <w:szCs w:val="24"/>
          <w:highlight w:val="white"/>
          <w:shd w:val="clear" w:color="auto" w:fill="FEFEFE"/>
        </w:rPr>
        <w:t>извънпътна</w:t>
      </w:r>
      <w:proofErr w:type="spellEnd"/>
      <w:r>
        <w:rPr>
          <w:rFonts w:eastAsia="Times New Roman"/>
          <w:sz w:val="24"/>
          <w:szCs w:val="24"/>
          <w:highlight w:val="white"/>
          <w:shd w:val="clear" w:color="auto" w:fill="FEFEFE"/>
        </w:rPr>
        <w:t xml:space="preserve"> подвижна техника </w:t>
      </w:r>
      <w:r>
        <w:rPr>
          <w:rFonts w:eastAsia="Times New Roman"/>
          <w:sz w:val="24"/>
          <w:szCs w:val="24"/>
          <w:highlight w:val="white"/>
          <w:shd w:val="clear" w:color="auto" w:fill="FEFEFE"/>
          <w:vertAlign w:val="superscript"/>
        </w:rPr>
        <w:t>(4)</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2.5. Директива 98/70/ЕО на Европейския парламент и на Съвета от 13 октомври 1998 г. относно качеството на бензиновите и дизеловите горива </w:t>
      </w:r>
      <w:r>
        <w:rPr>
          <w:rFonts w:eastAsia="Times New Roman"/>
          <w:sz w:val="24"/>
          <w:szCs w:val="24"/>
          <w:highlight w:val="white"/>
          <w:shd w:val="clear" w:color="auto" w:fill="FEFEFE"/>
          <w:vertAlign w:val="superscript"/>
        </w:rPr>
        <w:t>(5)</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2.6. Директива 1999/13/ЕО на Съвета от 11 март 1999 г. за ограничаване на емисиите на летливи органични съединения, дължащи се на употребата на органични разтворители в определени дейности и инсталации </w:t>
      </w:r>
      <w:r>
        <w:rPr>
          <w:rFonts w:eastAsia="Times New Roman"/>
          <w:sz w:val="24"/>
          <w:szCs w:val="24"/>
          <w:highlight w:val="white"/>
          <w:shd w:val="clear" w:color="auto" w:fill="FEFEFE"/>
          <w:vertAlign w:val="superscript"/>
        </w:rPr>
        <w:t>(6)</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2.7. Директива 1999/32/ЕО на Съвета от 26 април 1999 г. относно намаляването на съдържанието на сяра в определени течни горива </w:t>
      </w:r>
      <w:r>
        <w:rPr>
          <w:rFonts w:eastAsia="Times New Roman"/>
          <w:sz w:val="24"/>
          <w:szCs w:val="24"/>
          <w:highlight w:val="white"/>
          <w:shd w:val="clear" w:color="auto" w:fill="FEFEFE"/>
          <w:vertAlign w:val="superscript"/>
        </w:rPr>
        <w:t>(7)</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2.8. Директива 2000/76/ЕО на Европейския парламент и на Съвета от 4 декември 2000 г. относно изгарянето на отпадъците </w:t>
      </w:r>
      <w:r>
        <w:rPr>
          <w:rFonts w:eastAsia="Times New Roman"/>
          <w:sz w:val="24"/>
          <w:szCs w:val="24"/>
          <w:highlight w:val="white"/>
          <w:shd w:val="clear" w:color="auto" w:fill="FEFEFE"/>
          <w:vertAlign w:val="superscript"/>
        </w:rPr>
        <w:t>(8)</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 Директива 2001/80/ЕО на Европейския парламент и на Съвета от 23 октомври 2001 г. за ограничаване на емисиите на определени замърсители във въздуха, изпускани от големи горивни инсталации;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2.10. Директива 2001/81/ЕО на Европейския парламент и на Съвета от 23 октомври 2001 г. относно националните тавани за емисии на някои атмосферни замърсители;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2.11. Директива 2004/42/ЕО на Европейския парламент и на Съвета от 21 април 2004 г.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w:t>
      </w:r>
      <w:r>
        <w:rPr>
          <w:rFonts w:eastAsia="Times New Roman"/>
          <w:sz w:val="24"/>
          <w:szCs w:val="24"/>
          <w:highlight w:val="white"/>
          <w:shd w:val="clear" w:color="auto" w:fill="FEFEFE"/>
          <w:vertAlign w:val="superscript"/>
        </w:rPr>
        <w:t>(9)</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2.12. Директива 2005/33/ЕО на Европейския парламент и на Съвета от 6 юли 2005 г. за изменение на Директива 1999/32/ЕО по отношение съдържанието на сяра в корабните горива </w:t>
      </w:r>
      <w:r>
        <w:rPr>
          <w:rFonts w:eastAsia="Times New Roman"/>
          <w:sz w:val="24"/>
          <w:szCs w:val="24"/>
          <w:highlight w:val="white"/>
          <w:shd w:val="clear" w:color="auto" w:fill="FEFEFE"/>
          <w:vertAlign w:val="superscript"/>
        </w:rPr>
        <w:t>(10)</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2.13. Директива 2005/55/ЕО на Европейския парламент и на Съвета от 28 септември 2005 г. за сближаване на законодателствата на държавите членки относно мерките, които трябва да се предприемат срещу емисиите на газообразни и механични замърсители от дизелови двигатели, използвани в превозните средства, и емисиите на газообразни замърсители от бензинови двигатели, зареждани с гориво от природен газ или втечнен нефтен газ, използвани в превозните средства </w:t>
      </w:r>
      <w:r>
        <w:rPr>
          <w:rFonts w:eastAsia="Times New Roman"/>
          <w:sz w:val="24"/>
          <w:szCs w:val="24"/>
          <w:highlight w:val="white"/>
          <w:shd w:val="clear" w:color="auto" w:fill="FEFEFE"/>
          <w:vertAlign w:val="superscript"/>
        </w:rPr>
        <w:t>(11)</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2.14. Директива 2006/32/ЕО на Европейския парламент и на Съвета от 5 април 2006 г. относно ефективността при крайното потребление на енергия и осъществяване на енергийни услуги </w:t>
      </w:r>
      <w:r>
        <w:rPr>
          <w:rFonts w:eastAsia="Times New Roman"/>
          <w:sz w:val="24"/>
          <w:szCs w:val="24"/>
          <w:highlight w:val="white"/>
          <w:shd w:val="clear" w:color="auto" w:fill="FEFEFE"/>
          <w:vertAlign w:val="superscript"/>
        </w:rPr>
        <w:t>(12)</w:t>
      </w:r>
      <w:r>
        <w:rPr>
          <w:rFonts w:eastAsia="Times New Roman"/>
          <w:sz w:val="24"/>
          <w:szCs w:val="24"/>
          <w:highlight w:val="white"/>
          <w:shd w:val="clear" w:color="auto" w:fill="FEFEFE"/>
        </w:rPr>
        <w:t>.</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Информация за всички мерки за намаляване на замърсяването на атмосферния въздух, обсъждани на съответното местно, регионално или национално ниво за изпълнение с оглед подобряване на КАВ, включително: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 ограничаване на емисиите от неподвижни източници чрез снабдяването на горивни източници с термична мощност от 0,5 до 50 MW (включително на биомаса) с оборудване за намаляване на емисиите на вредни вещества или чрез тяхната подмяна;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3.2. ограничаване на емисиите от превозни средства чрез </w:t>
      </w:r>
      <w:proofErr w:type="spellStart"/>
      <w:r>
        <w:rPr>
          <w:rFonts w:eastAsia="Times New Roman"/>
          <w:sz w:val="24"/>
          <w:szCs w:val="24"/>
          <w:highlight w:val="white"/>
          <w:shd w:val="clear" w:color="auto" w:fill="FEFEFE"/>
        </w:rPr>
        <w:t>последващо</w:t>
      </w:r>
      <w:proofErr w:type="spellEnd"/>
      <w:r>
        <w:rPr>
          <w:rFonts w:eastAsia="Times New Roman"/>
          <w:sz w:val="24"/>
          <w:szCs w:val="24"/>
          <w:highlight w:val="white"/>
          <w:shd w:val="clear" w:color="auto" w:fill="FEFEFE"/>
        </w:rPr>
        <w:t xml:space="preserve"> монтиране на оборудване за намаляване на емисиите; следва да се обмисли въвеждането на икономически стимули за ускоряване на привеждането в съответствие;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w:t>
      </w:r>
      <w:proofErr w:type="spellStart"/>
      <w:r>
        <w:rPr>
          <w:rFonts w:eastAsia="Times New Roman"/>
          <w:sz w:val="24"/>
          <w:szCs w:val="24"/>
          <w:highlight w:val="white"/>
          <w:shd w:val="clear" w:color="auto" w:fill="FEFEFE"/>
        </w:rPr>
        <w:t>3</w:t>
      </w:r>
      <w:proofErr w:type="spellEnd"/>
      <w:r>
        <w:rPr>
          <w:rFonts w:eastAsia="Times New Roman"/>
          <w:sz w:val="24"/>
          <w:szCs w:val="24"/>
          <w:highlight w:val="white"/>
          <w:shd w:val="clear" w:color="auto" w:fill="FEFEFE"/>
        </w:rPr>
        <w:t xml:space="preserve">. възлагане на обществени поръчки от публичния сектор съгласно наръчника за обществените поръчки в областта на опазването на околната среда, за пътнотранспортни средства, горива и горивни инсталации за ограничаване на емисиите, включително закупуване на: нови превозни средства, вкл. превозни средства с ниски нива на емисии; транспортни услуги, използващи по-малко замърсяващи превозни средства; горивни инсталации с ниски нива на емисии; </w:t>
      </w:r>
      <w:proofErr w:type="spellStart"/>
      <w:r>
        <w:rPr>
          <w:rFonts w:eastAsia="Times New Roman"/>
          <w:sz w:val="24"/>
          <w:szCs w:val="24"/>
          <w:highlight w:val="white"/>
          <w:shd w:val="clear" w:color="auto" w:fill="FEFEFE"/>
        </w:rPr>
        <w:t>нискоемисионни</w:t>
      </w:r>
      <w:proofErr w:type="spellEnd"/>
      <w:r>
        <w:rPr>
          <w:rFonts w:eastAsia="Times New Roman"/>
          <w:sz w:val="24"/>
          <w:szCs w:val="24"/>
          <w:highlight w:val="white"/>
          <w:shd w:val="clear" w:color="auto" w:fill="FEFEFE"/>
        </w:rPr>
        <w:t xml:space="preserve"> горива, предназначени за неподвижни и подвижни източници;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 мерки за ограничаване на емисиите от подвижни източници чрез организация и регулиране на движението на превозните средства (включително такси за избягване на задръстванията, диференцирани такси за паркиране или други икономически стимули; установяване на зони с ниски нива на емисии);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 мерки за насърчаване преминаването към по-малко замърсяващи превозни средства;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3.6. гарантиране употребата на </w:t>
      </w:r>
      <w:proofErr w:type="spellStart"/>
      <w:r>
        <w:rPr>
          <w:rFonts w:eastAsia="Times New Roman"/>
          <w:sz w:val="24"/>
          <w:szCs w:val="24"/>
          <w:highlight w:val="white"/>
          <w:shd w:val="clear" w:color="auto" w:fill="FEFEFE"/>
        </w:rPr>
        <w:t>нискоемисионни</w:t>
      </w:r>
      <w:proofErr w:type="spellEnd"/>
      <w:r>
        <w:rPr>
          <w:rFonts w:eastAsia="Times New Roman"/>
          <w:sz w:val="24"/>
          <w:szCs w:val="24"/>
          <w:highlight w:val="white"/>
          <w:shd w:val="clear" w:color="auto" w:fill="FEFEFE"/>
        </w:rPr>
        <w:t xml:space="preserve"> горива в неподвижните и подвижните източници;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 мерки за ограничаване замърсяването на атмосферния въздух чрез издаването на разрешителни съгласно Директива 2008/1/ЕО, чрез програмата за прилагане на Директива 2001/80/ЕО и чрез използване на икономически инструменти, като данъци, такси или търговия с квоти за емисии;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3.8. при необходимост мерки за опазване здравето на децата или на други чувствителни групи от населението.</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ОВ L 76, 6.4.1970 г., стр. 1. Директива, последно изменена с Директива 2006/96/ЕО (ОВ L 363, 20.12.2006 г., стр. 81).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ОВ L 365, 31.12.1994 г., стр. 24. Директива, изменена с Регламент (ЕО) № 1882/2003 (ОВ L 284, 31.10.2003 г., стр. 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xml:space="preserve"> ОВ L 24, 29.1.2008 г., стр. 8.</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(4)</w:t>
      </w:r>
      <w:r>
        <w:rPr>
          <w:rFonts w:eastAsia="Times New Roman"/>
          <w:sz w:val="24"/>
          <w:szCs w:val="24"/>
          <w:highlight w:val="white"/>
          <w:shd w:val="clear" w:color="auto" w:fill="FEFEFE"/>
        </w:rPr>
        <w:t xml:space="preserve"> ОВ L 59, 27.2.1998 г., стр. 1. Директива, последно изменена с Директива 2006/105/ЕО.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(5)</w:t>
      </w:r>
      <w:r>
        <w:rPr>
          <w:rFonts w:eastAsia="Times New Roman"/>
          <w:sz w:val="24"/>
          <w:szCs w:val="24"/>
          <w:highlight w:val="white"/>
          <w:shd w:val="clear" w:color="auto" w:fill="FEFEFE"/>
        </w:rPr>
        <w:t xml:space="preserve"> ОВ L 350, 28.12.1998 г., стр. 58. Директива, изменена с Регламент (ЕО) № 1882/2003.</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(6)</w:t>
      </w:r>
      <w:r>
        <w:rPr>
          <w:rFonts w:eastAsia="Times New Roman"/>
          <w:sz w:val="24"/>
          <w:szCs w:val="24"/>
          <w:highlight w:val="white"/>
          <w:shd w:val="clear" w:color="auto" w:fill="FEFEFE"/>
        </w:rPr>
        <w:t xml:space="preserve"> ОВ L 85, 29.3.1999 г., стр. 1. Директива, последно изменена с Директива 2004/42/ЕО на Европейския парламент и на Съвета (ОВ L 143, 30.4.2004 г., стр. 87).</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(7)</w:t>
      </w:r>
      <w:r>
        <w:rPr>
          <w:rFonts w:eastAsia="Times New Roman"/>
          <w:sz w:val="24"/>
          <w:szCs w:val="24"/>
          <w:highlight w:val="white"/>
          <w:shd w:val="clear" w:color="auto" w:fill="FEFEFE"/>
        </w:rPr>
        <w:t xml:space="preserve"> ОВ L 121, 11.5.1999 г., стр. 13. Директива, последно изменена с Директива 2005/33/ЕО на Европейския парламент и на Съвета (ОВ L 191, 22.7.2005 г., стр. 59).</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(8)</w:t>
      </w:r>
      <w:r>
        <w:rPr>
          <w:rFonts w:eastAsia="Times New Roman"/>
          <w:sz w:val="24"/>
          <w:szCs w:val="24"/>
          <w:highlight w:val="white"/>
          <w:shd w:val="clear" w:color="auto" w:fill="FEFEFE"/>
        </w:rPr>
        <w:t xml:space="preserve"> ОВ L 332, 28.12.2000 г., стр. 91.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(9)</w:t>
      </w:r>
      <w:r>
        <w:rPr>
          <w:rFonts w:eastAsia="Times New Roman"/>
          <w:sz w:val="24"/>
          <w:szCs w:val="24"/>
          <w:highlight w:val="white"/>
          <w:shd w:val="clear" w:color="auto" w:fill="FEFEFE"/>
        </w:rPr>
        <w:t xml:space="preserve"> ОВ L 143, 30.4.2004 г., стр. 87.</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(10)</w:t>
      </w:r>
      <w:r>
        <w:rPr>
          <w:rFonts w:eastAsia="Times New Roman"/>
          <w:sz w:val="24"/>
          <w:szCs w:val="24"/>
          <w:highlight w:val="white"/>
          <w:shd w:val="clear" w:color="auto" w:fill="FEFEFE"/>
        </w:rPr>
        <w:t xml:space="preserve"> ОВ L 191, 22.7.2005 г., стр. 59.</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(11)</w:t>
      </w:r>
      <w:r>
        <w:rPr>
          <w:rFonts w:eastAsia="Times New Roman"/>
          <w:sz w:val="24"/>
          <w:szCs w:val="24"/>
          <w:highlight w:val="white"/>
          <w:shd w:val="clear" w:color="auto" w:fill="FEFEFE"/>
        </w:rPr>
        <w:t xml:space="preserve"> ОВ L 275, 20.10.2005 г., стр. 1. Директива, последно изменена с Регламент (ЕО) № 715/2007 (ОВ L 171, 29.6.2007 г., стр. 1).</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(12)</w:t>
      </w:r>
      <w:r>
        <w:rPr>
          <w:rFonts w:eastAsia="Times New Roman"/>
          <w:sz w:val="24"/>
          <w:szCs w:val="24"/>
          <w:highlight w:val="white"/>
          <w:shd w:val="clear" w:color="auto" w:fill="FEFEFE"/>
        </w:rPr>
        <w:t xml:space="preserve"> ОВ L 114, 27.4.2006 г., стр. 64.</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16 към чл. 4, ал. 2, чл. 8, ал. 2, чл. 43 и 44</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Информация, предоставяна на обществеността</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 Данните за концентрациите на замърсителите в атмосферния въздух се представят като средни стойности в зависимост от установения период на осредняване за тях. </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ІІ. Информацията трябва да съдържа като минимум нивата, превишаващи установените норми за съответния замърсител, целевите норми, алармените прагове и информационния праг за озон. Информацията също така следва да съдържа и кратка оценка относно целите за качество на въздуха и необходимата информация относно последиците за здравето или където е уместно, за </w:t>
      </w:r>
      <w:r>
        <w:rPr>
          <w:rFonts w:eastAsia="Times New Roman"/>
          <w:sz w:val="24"/>
          <w:szCs w:val="24"/>
          <w:highlight w:val="white"/>
          <w:shd w:val="clear" w:color="auto" w:fill="FEFEFE"/>
        </w:rPr>
        <w:lastRenderedPageBreak/>
        <w:t>растителността.</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ІІІ. Информацията за концентрациите в атмосферния въздух на серен диоксид, азотен диоксид, ФПЧ (най-малко ФПЧ</w:t>
      </w:r>
      <w:r>
        <w:rPr>
          <w:rFonts w:eastAsia="Times New Roman"/>
          <w:sz w:val="24"/>
          <w:szCs w:val="24"/>
          <w:highlight w:val="white"/>
          <w:shd w:val="clear" w:color="auto" w:fill="FEFEFE"/>
          <w:vertAlign w:val="subscript"/>
        </w:rPr>
        <w:t>10</w:t>
      </w:r>
      <w:r>
        <w:rPr>
          <w:rFonts w:eastAsia="Times New Roman"/>
          <w:sz w:val="24"/>
          <w:szCs w:val="24"/>
          <w:highlight w:val="white"/>
          <w:shd w:val="clear" w:color="auto" w:fill="FEFEFE"/>
        </w:rPr>
        <w:t xml:space="preserve">), озон и въглероден оксид се актуализира ежедневно, а когато е възможно - и на всеки час. Информацията за концентрациите в атмосферния въздух на олово и </w:t>
      </w:r>
      <w:proofErr w:type="spellStart"/>
      <w:r>
        <w:rPr>
          <w:rFonts w:eastAsia="Times New Roman"/>
          <w:sz w:val="24"/>
          <w:szCs w:val="24"/>
          <w:highlight w:val="white"/>
          <w:shd w:val="clear" w:color="auto" w:fill="FEFEFE"/>
        </w:rPr>
        <w:t>бензен</w:t>
      </w:r>
      <w:proofErr w:type="spellEnd"/>
      <w:r>
        <w:rPr>
          <w:rFonts w:eastAsia="Times New Roman"/>
          <w:sz w:val="24"/>
          <w:szCs w:val="24"/>
          <w:highlight w:val="white"/>
          <w:shd w:val="clear" w:color="auto" w:fill="FEFEFE"/>
        </w:rPr>
        <w:t>, предоставена като средна стойност за последните 12 месеца, се актуализира веднъж на 3 месеца или всеки месец, когато е възможно.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ІV. При установено или прогнозирано превишаване на установените алармени прагове, както и на информационните прагове, своевременно се предоставят следните данни: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Информация за наблюдаваното превишаване: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местонахождение на района с превишаването;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вид превишен праг (информационен или алармен);</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начален час и продължителност на превишаването;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най-висока </w:t>
      </w:r>
      <w:proofErr w:type="spellStart"/>
      <w:r>
        <w:rPr>
          <w:rFonts w:eastAsia="Times New Roman"/>
          <w:sz w:val="24"/>
          <w:szCs w:val="24"/>
          <w:highlight w:val="white"/>
          <w:shd w:val="clear" w:color="auto" w:fill="FEFEFE"/>
        </w:rPr>
        <w:t>средночасова</w:t>
      </w:r>
      <w:proofErr w:type="spellEnd"/>
      <w:r>
        <w:rPr>
          <w:rFonts w:eastAsia="Times New Roman"/>
          <w:sz w:val="24"/>
          <w:szCs w:val="24"/>
          <w:highlight w:val="white"/>
          <w:shd w:val="clear" w:color="auto" w:fill="FEFEFE"/>
        </w:rPr>
        <w:t xml:space="preserve"> стойност; за озона и най-висока 8-часова средна стойност.</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Прогнози за оставащата част от деня и следващите дни: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географски район на очакваните превишения на информационния и/или алармения праг;</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очаквани промени в нивата на замърсяване (понижение, стабилизиране или повишение), както и причините за тези промени.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Информация за типа на засегнатото население, възможни здравни последствия и препоръчително поведение: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информация за чувствителните групи от населението;</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описание на вероятните симптоми;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препоръчителни предпазни мерки, които следва да се вземат от засегнатото население;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източници на допълнителна информация.</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Информация за превантивните действия за ограничаване на замърсяването и/или излагането на него: посочване на основните сектори, източници на замърсяване; препоръки за действия с цел ограничаване на емисиите.</w:t>
      </w:r>
    </w:p>
    <w:p w:rsidR="00E62D79" w:rsidRDefault="00E62D79">
      <w:pPr>
        <w:rPr>
          <w:rFonts w:eastAsia="Times New Roman"/>
          <w:sz w:val="24"/>
          <w:szCs w:val="24"/>
          <w:highlight w:val="white"/>
          <w:shd w:val="clear" w:color="auto" w:fill="FEFEFE"/>
        </w:rPr>
      </w:pP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17 към чл. 49, ал. 1, т. 6</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Информация за </w:t>
      </w:r>
      <w:proofErr w:type="spellStart"/>
      <w:r>
        <w:rPr>
          <w:rFonts w:eastAsia="Times New Roman"/>
          <w:sz w:val="24"/>
          <w:szCs w:val="24"/>
          <w:highlight w:val="white"/>
          <w:shd w:val="clear" w:color="auto" w:fill="FEFEFE"/>
        </w:rPr>
        <w:t>превишенията</w:t>
      </w:r>
      <w:proofErr w:type="spellEnd"/>
      <w:r>
        <w:rPr>
          <w:rFonts w:eastAsia="Times New Roman"/>
          <w:sz w:val="24"/>
          <w:szCs w:val="24"/>
          <w:highlight w:val="white"/>
          <w:shd w:val="clear" w:color="auto" w:fill="FEFEFE"/>
        </w:rPr>
        <w:t xml:space="preserve"> на нормите и информационния и/или алармения праг за озон</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таблицата по-долу са посочени видът и количеството на информацията, която се изпраща до Европейската комисия след изготвянето ѝ от ИАОС.</w:t>
      </w:r>
    </w:p>
    <w:p w:rsidR="00E62D79" w:rsidRDefault="00E62D79">
      <w:pPr>
        <w:rPr>
          <w:rFonts w:eastAsia="Times New Roman"/>
          <w:sz w:val="24"/>
          <w:szCs w:val="24"/>
          <w:highlight w:val="white"/>
          <w:shd w:val="clear" w:color="auto" w:fill="FEFEFE"/>
        </w:rPr>
      </w:pPr>
    </w:p>
    <w:tbl>
      <w:tblPr>
        <w:tblW w:w="10756" w:type="dxa"/>
        <w:tblInd w:w="20" w:type="dxa"/>
        <w:tblLayout w:type="fixed"/>
        <w:tblCellMar>
          <w:left w:w="15" w:type="dxa"/>
          <w:right w:w="15" w:type="dxa"/>
        </w:tblCellMar>
        <w:tblLook w:val="0000" w:firstRow="0" w:lastRow="0" w:firstColumn="0" w:lastColumn="0" w:noHBand="0" w:noVBand="0"/>
      </w:tblPr>
      <w:tblGrid>
        <w:gridCol w:w="1701"/>
        <w:gridCol w:w="1418"/>
        <w:gridCol w:w="1058"/>
        <w:gridCol w:w="2344"/>
        <w:gridCol w:w="2552"/>
        <w:gridCol w:w="1683"/>
      </w:tblGrid>
      <w:tr w:rsidR="00E62D79" w:rsidTr="003E7B78">
        <w:tblPrEx>
          <w:tblCellMar>
            <w:top w:w="0" w:type="dxa"/>
            <w:bottom w:w="0" w:type="dxa"/>
          </w:tblCellMar>
        </w:tblPrEx>
        <w:trPr>
          <w:trHeight w:val="283"/>
        </w:trPr>
        <w:tc>
          <w:tcPr>
            <w:tcW w:w="1701"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Норма/праг</w:t>
            </w:r>
          </w:p>
        </w:tc>
        <w:tc>
          <w:tcPr>
            <w:tcW w:w="141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Вид на ПМ</w:t>
            </w:r>
          </w:p>
        </w:tc>
        <w:tc>
          <w:tcPr>
            <w:tcW w:w="105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Ниво</w:t>
            </w:r>
          </w:p>
        </w:tc>
        <w:tc>
          <w:tcPr>
            <w:tcW w:w="2344"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Време за събиране/осредняване на данните</w:t>
            </w:r>
          </w:p>
        </w:tc>
        <w:tc>
          <w:tcPr>
            <w:tcW w:w="255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Предварителни данни за всеки месец от април до септември</w:t>
            </w:r>
          </w:p>
        </w:tc>
        <w:tc>
          <w:tcPr>
            <w:tcW w:w="168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Докладване за всяка година</w:t>
            </w:r>
          </w:p>
        </w:tc>
      </w:tr>
      <w:tr w:rsidR="00E62D79" w:rsidTr="003E7B78">
        <w:tblPrEx>
          <w:tblCellMar>
            <w:top w:w="0" w:type="dxa"/>
            <w:bottom w:w="0" w:type="dxa"/>
          </w:tblCellMar>
        </w:tblPrEx>
        <w:trPr>
          <w:trHeight w:val="283"/>
        </w:trPr>
        <w:tc>
          <w:tcPr>
            <w:tcW w:w="1701"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w:t>
            </w:r>
          </w:p>
        </w:tc>
        <w:tc>
          <w:tcPr>
            <w:tcW w:w="1418"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w:t>
            </w:r>
          </w:p>
        </w:tc>
        <w:tc>
          <w:tcPr>
            <w:tcW w:w="1058"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w:t>
            </w:r>
          </w:p>
        </w:tc>
        <w:tc>
          <w:tcPr>
            <w:tcW w:w="2344"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w:t>
            </w:r>
          </w:p>
        </w:tc>
        <w:tc>
          <w:tcPr>
            <w:tcW w:w="2552"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w:t>
            </w:r>
          </w:p>
        </w:tc>
        <w:tc>
          <w:tcPr>
            <w:tcW w:w="1683"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6</w:t>
            </w:r>
          </w:p>
        </w:tc>
      </w:tr>
      <w:tr w:rsidR="00E62D79" w:rsidTr="003E7B78">
        <w:tblPrEx>
          <w:tblCellMar>
            <w:top w:w="0" w:type="dxa"/>
            <w:bottom w:w="0" w:type="dxa"/>
          </w:tblCellMar>
        </w:tblPrEx>
        <w:trPr>
          <w:trHeight w:val="283"/>
        </w:trPr>
        <w:tc>
          <w:tcPr>
            <w:tcW w:w="1701"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Праг за информиране на населението</w:t>
            </w:r>
          </w:p>
        </w:tc>
        <w:tc>
          <w:tcPr>
            <w:tcW w:w="1418"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Всеки</w:t>
            </w:r>
          </w:p>
        </w:tc>
        <w:tc>
          <w:tcPr>
            <w:tcW w:w="1058"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180 µg/m</w:t>
            </w:r>
            <w:r>
              <w:rPr>
                <w:rFonts w:ascii="Arial" w:eastAsia="Times New Roman" w:hAnsi="Arial" w:cs="Arial"/>
                <w:highlight w:val="white"/>
                <w:shd w:val="clear" w:color="auto" w:fill="FEFEFE"/>
                <w:vertAlign w:val="superscript"/>
              </w:rPr>
              <w:t>3</w:t>
            </w:r>
          </w:p>
        </w:tc>
        <w:tc>
          <w:tcPr>
            <w:tcW w:w="2344"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час</w:t>
            </w:r>
          </w:p>
        </w:tc>
        <w:tc>
          <w:tcPr>
            <w:tcW w:w="2552"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за всеки ден с превишения: дата, общо часове на превишаване,максималните измерени едночасови стойности за озон и азотен диоксид, когато се изискват;</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 максималната месечна едночасова стойност за </w:t>
            </w:r>
            <w:r>
              <w:rPr>
                <w:rFonts w:ascii="Arial" w:eastAsia="Times New Roman" w:hAnsi="Arial" w:cs="Arial"/>
                <w:highlight w:val="white"/>
                <w:shd w:val="clear" w:color="auto" w:fill="FEFEFE"/>
              </w:rPr>
              <w:lastRenderedPageBreak/>
              <w:t>озон</w:t>
            </w:r>
          </w:p>
        </w:tc>
        <w:tc>
          <w:tcPr>
            <w:tcW w:w="1683"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lastRenderedPageBreak/>
              <w:t xml:space="preserve">- за всеки ден с превишения: дата, общо часове на превишаване, максималните измерени едночасови стойности за озон и азотен диоксид, когато </w:t>
            </w:r>
            <w:r>
              <w:rPr>
                <w:rFonts w:ascii="Arial" w:eastAsia="Times New Roman" w:hAnsi="Arial" w:cs="Arial"/>
                <w:highlight w:val="white"/>
                <w:shd w:val="clear" w:color="auto" w:fill="FEFEFE"/>
              </w:rPr>
              <w:lastRenderedPageBreak/>
              <w:t>се изискват</w:t>
            </w:r>
          </w:p>
        </w:tc>
      </w:tr>
      <w:tr w:rsidR="00E62D79" w:rsidTr="003E7B78">
        <w:tblPrEx>
          <w:tblCellMar>
            <w:top w:w="0" w:type="dxa"/>
            <w:bottom w:w="0" w:type="dxa"/>
          </w:tblCellMar>
        </w:tblPrEx>
        <w:trPr>
          <w:trHeight w:val="283"/>
        </w:trPr>
        <w:tc>
          <w:tcPr>
            <w:tcW w:w="1701"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lastRenderedPageBreak/>
              <w:t>Праг за предупреждаване на населението</w:t>
            </w:r>
          </w:p>
        </w:tc>
        <w:tc>
          <w:tcPr>
            <w:tcW w:w="141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Всеки</w:t>
            </w:r>
          </w:p>
        </w:tc>
        <w:tc>
          <w:tcPr>
            <w:tcW w:w="105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240 µg/m</w:t>
            </w:r>
            <w:r>
              <w:rPr>
                <w:rFonts w:ascii="Arial" w:eastAsia="Times New Roman" w:hAnsi="Arial" w:cs="Arial"/>
                <w:highlight w:val="white"/>
                <w:shd w:val="clear" w:color="auto" w:fill="FEFEFE"/>
                <w:vertAlign w:val="superscript"/>
              </w:rPr>
              <w:t>3</w:t>
            </w:r>
          </w:p>
        </w:tc>
        <w:tc>
          <w:tcPr>
            <w:tcW w:w="2344"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час</w:t>
            </w:r>
          </w:p>
        </w:tc>
        <w:tc>
          <w:tcPr>
            <w:tcW w:w="255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за всеки ден с превишения: дата, общо часове на превишаване, максималните измерени едночасови стойности за озон и азотен диоксид, когато се изискват</w:t>
            </w:r>
          </w:p>
        </w:tc>
        <w:tc>
          <w:tcPr>
            <w:tcW w:w="168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за всеки ден с превишения: дата, общо часове на превишаване, максималните измерени едночасови стойности за озон и азотен диоксид, когато се изискват</w:t>
            </w:r>
          </w:p>
        </w:tc>
      </w:tr>
      <w:tr w:rsidR="00E62D79" w:rsidTr="003E7B78">
        <w:tblPrEx>
          <w:tblCellMar>
            <w:top w:w="0" w:type="dxa"/>
            <w:bottom w:w="0" w:type="dxa"/>
          </w:tblCellMar>
        </w:tblPrEx>
        <w:trPr>
          <w:trHeight w:val="283"/>
        </w:trPr>
        <w:tc>
          <w:tcPr>
            <w:tcW w:w="1701"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Норма за опазване на човешкото здраве</w:t>
            </w:r>
          </w:p>
        </w:tc>
        <w:tc>
          <w:tcPr>
            <w:tcW w:w="141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Всеки</w:t>
            </w:r>
          </w:p>
        </w:tc>
        <w:tc>
          <w:tcPr>
            <w:tcW w:w="105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120 µg/m</w:t>
            </w:r>
            <w:r>
              <w:rPr>
                <w:rFonts w:ascii="Arial" w:eastAsia="Times New Roman" w:hAnsi="Arial" w:cs="Arial"/>
                <w:highlight w:val="white"/>
                <w:shd w:val="clear" w:color="auto" w:fill="FEFEFE"/>
                <w:vertAlign w:val="superscript"/>
              </w:rPr>
              <w:t>3</w:t>
            </w:r>
          </w:p>
        </w:tc>
        <w:tc>
          <w:tcPr>
            <w:tcW w:w="2344"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8 часа</w:t>
            </w:r>
          </w:p>
        </w:tc>
        <w:tc>
          <w:tcPr>
            <w:tcW w:w="255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за всеки ден с превишения: дата, максималната измерена 8-часова средна стойност в рамките на денонощието</w:t>
            </w:r>
            <w:r>
              <w:rPr>
                <w:rFonts w:ascii="Arial" w:eastAsia="Times New Roman" w:hAnsi="Arial" w:cs="Arial"/>
                <w:highlight w:val="white"/>
                <w:shd w:val="clear" w:color="auto" w:fill="FEFEFE"/>
                <w:vertAlign w:val="superscript"/>
              </w:rPr>
              <w:t>(2)</w:t>
            </w:r>
          </w:p>
        </w:tc>
        <w:tc>
          <w:tcPr>
            <w:tcW w:w="168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за всеки ден с превишения: дата, максималната измерена 8-часова средна стойност в рамките на денонощието</w:t>
            </w:r>
            <w:r>
              <w:rPr>
                <w:rFonts w:ascii="Arial" w:eastAsia="Times New Roman" w:hAnsi="Arial" w:cs="Arial"/>
                <w:highlight w:val="white"/>
                <w:shd w:val="clear" w:color="auto" w:fill="FEFEFE"/>
                <w:vertAlign w:val="superscript"/>
              </w:rPr>
              <w:t>(2)</w:t>
            </w:r>
          </w:p>
        </w:tc>
      </w:tr>
      <w:tr w:rsidR="00E62D79" w:rsidTr="003E7B78">
        <w:tblPrEx>
          <w:tblCellMar>
            <w:top w:w="0" w:type="dxa"/>
            <w:bottom w:w="0" w:type="dxa"/>
          </w:tblCellMar>
        </w:tblPrEx>
        <w:trPr>
          <w:trHeight w:val="283"/>
        </w:trPr>
        <w:tc>
          <w:tcPr>
            <w:tcW w:w="1701"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Норма за опазване на растителността</w:t>
            </w:r>
          </w:p>
        </w:tc>
        <w:tc>
          <w:tcPr>
            <w:tcW w:w="141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Крайградски</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Извънградски </w:t>
            </w:r>
            <w:proofErr w:type="spellStart"/>
            <w:r>
              <w:rPr>
                <w:rFonts w:ascii="Arial" w:eastAsia="Times New Roman" w:hAnsi="Arial" w:cs="Arial"/>
                <w:highlight w:val="white"/>
                <w:shd w:val="clear" w:color="auto" w:fill="FEFEFE"/>
              </w:rPr>
              <w:t>Извънградски</w:t>
            </w:r>
            <w:proofErr w:type="spellEnd"/>
            <w:r>
              <w:rPr>
                <w:rFonts w:ascii="Arial" w:eastAsia="Times New Roman" w:hAnsi="Arial" w:cs="Arial"/>
                <w:highlight w:val="white"/>
                <w:shd w:val="clear" w:color="auto" w:fill="FEFEFE"/>
              </w:rPr>
              <w:t xml:space="preserve"> фонов</w:t>
            </w:r>
          </w:p>
        </w:tc>
        <w:tc>
          <w:tcPr>
            <w:tcW w:w="105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АОТ40</w:t>
            </w:r>
            <w:r>
              <w:rPr>
                <w:rFonts w:ascii="Arial" w:eastAsia="Times New Roman" w:hAnsi="Arial" w:cs="Arial"/>
                <w:highlight w:val="white"/>
                <w:shd w:val="clear" w:color="auto" w:fill="FEFEFE"/>
                <w:vertAlign w:val="superscript"/>
              </w:rPr>
              <w:t>(1)</w:t>
            </w:r>
            <w:r>
              <w:rPr>
                <w:rFonts w:ascii="Arial" w:eastAsia="Times New Roman" w:hAnsi="Arial" w:cs="Arial"/>
                <w:highlight w:val="white"/>
                <w:shd w:val="clear" w:color="auto" w:fill="FEFEFE"/>
              </w:rPr>
              <w:t xml:space="preserve"> = 6000µg/m</w:t>
            </w:r>
            <w:r>
              <w:rPr>
                <w:rFonts w:ascii="Arial" w:eastAsia="Times New Roman" w:hAnsi="Arial" w:cs="Arial"/>
                <w:highlight w:val="white"/>
                <w:shd w:val="clear" w:color="auto" w:fill="FEFEFE"/>
                <w:vertAlign w:val="superscript"/>
              </w:rPr>
              <w:t>3</w:t>
            </w:r>
          </w:p>
        </w:tc>
        <w:tc>
          <w:tcPr>
            <w:tcW w:w="2344"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час, с натрупване от май до юли</w:t>
            </w:r>
          </w:p>
        </w:tc>
        <w:tc>
          <w:tcPr>
            <w:tcW w:w="255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68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Стойност</w:t>
            </w:r>
          </w:p>
        </w:tc>
      </w:tr>
      <w:tr w:rsidR="00E62D79" w:rsidTr="003E7B78">
        <w:tblPrEx>
          <w:tblCellMar>
            <w:top w:w="0" w:type="dxa"/>
            <w:bottom w:w="0" w:type="dxa"/>
          </w:tblCellMar>
        </w:tblPrEx>
        <w:trPr>
          <w:trHeight w:val="283"/>
        </w:trPr>
        <w:tc>
          <w:tcPr>
            <w:tcW w:w="1701"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Норма за опазване на горите</w:t>
            </w:r>
          </w:p>
        </w:tc>
        <w:tc>
          <w:tcPr>
            <w:tcW w:w="141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Крайградски</w:t>
            </w:r>
          </w:p>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Извънградски </w:t>
            </w:r>
            <w:proofErr w:type="spellStart"/>
            <w:r>
              <w:rPr>
                <w:rFonts w:ascii="Arial" w:eastAsia="Times New Roman" w:hAnsi="Arial" w:cs="Arial"/>
                <w:highlight w:val="white"/>
                <w:shd w:val="clear" w:color="auto" w:fill="FEFEFE"/>
              </w:rPr>
              <w:t>Извънградски</w:t>
            </w:r>
            <w:proofErr w:type="spellEnd"/>
            <w:r>
              <w:rPr>
                <w:rFonts w:ascii="Arial" w:eastAsia="Times New Roman" w:hAnsi="Arial" w:cs="Arial"/>
                <w:highlight w:val="white"/>
                <w:shd w:val="clear" w:color="auto" w:fill="FEFEFE"/>
              </w:rPr>
              <w:t xml:space="preserve"> фонов</w:t>
            </w:r>
          </w:p>
        </w:tc>
        <w:tc>
          <w:tcPr>
            <w:tcW w:w="1058"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АОТ40</w:t>
            </w:r>
            <w:r>
              <w:rPr>
                <w:rFonts w:ascii="Arial" w:eastAsia="Times New Roman" w:hAnsi="Arial" w:cs="Arial"/>
                <w:highlight w:val="white"/>
                <w:shd w:val="clear" w:color="auto" w:fill="FEFEFE"/>
                <w:vertAlign w:val="superscript"/>
              </w:rPr>
              <w:t>(1)</w:t>
            </w:r>
            <w:r>
              <w:rPr>
                <w:rFonts w:ascii="Arial" w:eastAsia="Times New Roman" w:hAnsi="Arial" w:cs="Arial"/>
                <w:highlight w:val="white"/>
                <w:shd w:val="clear" w:color="auto" w:fill="FEFEFE"/>
              </w:rPr>
              <w:t xml:space="preserve"> = 2000 µg/m</w:t>
            </w:r>
            <w:r>
              <w:rPr>
                <w:rFonts w:ascii="Arial" w:eastAsia="Times New Roman" w:hAnsi="Arial" w:cs="Arial"/>
                <w:highlight w:val="white"/>
                <w:shd w:val="clear" w:color="auto" w:fill="FEFEFE"/>
                <w:vertAlign w:val="superscript"/>
              </w:rPr>
              <w:t>3</w:t>
            </w:r>
          </w:p>
        </w:tc>
        <w:tc>
          <w:tcPr>
            <w:tcW w:w="2344"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час, с натрупване от април до септември</w:t>
            </w:r>
          </w:p>
        </w:tc>
        <w:tc>
          <w:tcPr>
            <w:tcW w:w="2552"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683"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Стойност</w:t>
            </w:r>
          </w:p>
        </w:tc>
      </w:tr>
      <w:tr w:rsidR="00E62D79" w:rsidTr="003E7B78">
        <w:tblPrEx>
          <w:tblCellMar>
            <w:top w:w="0" w:type="dxa"/>
            <w:bottom w:w="0" w:type="dxa"/>
          </w:tblCellMar>
        </w:tblPrEx>
        <w:trPr>
          <w:trHeight w:val="283"/>
        </w:trPr>
        <w:tc>
          <w:tcPr>
            <w:tcW w:w="1701" w:type="dxa"/>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Материали</w:t>
            </w:r>
          </w:p>
        </w:tc>
        <w:tc>
          <w:tcPr>
            <w:tcW w:w="1418"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Всеки</w:t>
            </w:r>
          </w:p>
        </w:tc>
        <w:tc>
          <w:tcPr>
            <w:tcW w:w="1058"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40 µg/m</w:t>
            </w:r>
            <w:r>
              <w:rPr>
                <w:rFonts w:ascii="Arial" w:eastAsia="Times New Roman" w:hAnsi="Arial" w:cs="Arial"/>
                <w:highlight w:val="white"/>
                <w:shd w:val="clear" w:color="auto" w:fill="FEFEFE"/>
                <w:vertAlign w:val="superscript"/>
              </w:rPr>
              <w:t>3</w:t>
            </w:r>
          </w:p>
        </w:tc>
        <w:tc>
          <w:tcPr>
            <w:tcW w:w="2344"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година</w:t>
            </w:r>
          </w:p>
        </w:tc>
        <w:tc>
          <w:tcPr>
            <w:tcW w:w="2552"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683" w:type="dxa"/>
            <w:tcBorders>
              <w:top w:val="single" w:sz="8" w:space="0" w:color="auto"/>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62D79" w:rsidRDefault="00E62D79">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Стойност</w:t>
            </w:r>
          </w:p>
        </w:tc>
      </w:tr>
    </w:tbl>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(1)</w:t>
      </w:r>
      <w:r>
        <w:rPr>
          <w:rFonts w:eastAsia="Times New Roman"/>
          <w:sz w:val="24"/>
          <w:szCs w:val="24"/>
          <w:highlight w:val="white"/>
          <w:shd w:val="clear" w:color="auto" w:fill="FEFEFE"/>
        </w:rPr>
        <w:t xml:space="preserve"> Виж определението за АОТ40 в раздел I на приложение № 3.</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Максималната осемчасова средна стойност в рамките на денонощието се определя съгласно раздел II на приложение № 3 (виж бележка 2 към таблица 5).</w:t>
      </w:r>
    </w:p>
    <w:p w:rsidR="00E62D79" w:rsidRDefault="00E62D79">
      <w:pPr>
        <w:rPr>
          <w:rFonts w:eastAsia="Times New Roman"/>
          <w:sz w:val="24"/>
          <w:szCs w:val="24"/>
          <w:highlight w:val="white"/>
          <w:shd w:val="clear" w:color="auto" w:fill="FEFEFE"/>
        </w:rPr>
      </w:pP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Като част от годишните доклади се представят и следните данни: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2.1. за озон, азотен диоксид, азотни оксиди и сумата от озон и азотен диоксид (сумирани като </w:t>
      </w:r>
      <w:proofErr w:type="spellStart"/>
      <w:r>
        <w:rPr>
          <w:rFonts w:eastAsia="Times New Roman"/>
          <w:sz w:val="24"/>
          <w:szCs w:val="24"/>
          <w:highlight w:val="white"/>
          <w:shd w:val="clear" w:color="auto" w:fill="FEFEFE"/>
        </w:rPr>
        <w:t>ppb</w:t>
      </w:r>
      <w:proofErr w:type="spellEnd"/>
      <w:r>
        <w:rPr>
          <w:rFonts w:eastAsia="Times New Roman"/>
          <w:sz w:val="24"/>
          <w:szCs w:val="24"/>
          <w:highlight w:val="white"/>
          <w:shd w:val="clear" w:color="auto" w:fill="FEFEFE"/>
        </w:rPr>
        <w:t xml:space="preserve"> и изразени като µg/m</w:t>
      </w:r>
      <w:r>
        <w:rPr>
          <w:rFonts w:eastAsia="Times New Roman"/>
          <w:sz w:val="24"/>
          <w:szCs w:val="24"/>
          <w:highlight w:val="white"/>
          <w:shd w:val="clear" w:color="auto" w:fill="FEFEFE"/>
          <w:vertAlign w:val="superscript"/>
        </w:rPr>
        <w:t>3</w:t>
      </w:r>
      <w:r>
        <w:rPr>
          <w:rFonts w:eastAsia="Times New Roman"/>
          <w:sz w:val="24"/>
          <w:szCs w:val="24"/>
          <w:highlight w:val="white"/>
          <w:shd w:val="clear" w:color="auto" w:fill="FEFEFE"/>
        </w:rPr>
        <w:t xml:space="preserve"> озон) - максималната измерена стойност, 99,9-ият, 98-ият и 50-ият </w:t>
      </w:r>
      <w:proofErr w:type="spellStart"/>
      <w:r>
        <w:rPr>
          <w:rFonts w:eastAsia="Times New Roman"/>
          <w:sz w:val="24"/>
          <w:szCs w:val="24"/>
          <w:highlight w:val="white"/>
          <w:shd w:val="clear" w:color="auto" w:fill="FEFEFE"/>
        </w:rPr>
        <w:t>перцентил</w:t>
      </w:r>
      <w:proofErr w:type="spellEnd"/>
      <w:r>
        <w:rPr>
          <w:rFonts w:eastAsia="Times New Roman"/>
          <w:sz w:val="24"/>
          <w:szCs w:val="24"/>
          <w:highlight w:val="white"/>
          <w:shd w:val="clear" w:color="auto" w:fill="FEFEFE"/>
        </w:rPr>
        <w:t>, средногодишната стойност и броят на валидните данни от почасовите серии;</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w:t>
      </w:r>
      <w:proofErr w:type="spellStart"/>
      <w:r>
        <w:rPr>
          <w:rFonts w:eastAsia="Times New Roman"/>
          <w:sz w:val="24"/>
          <w:szCs w:val="24"/>
          <w:highlight w:val="white"/>
          <w:shd w:val="clear" w:color="auto" w:fill="FEFEFE"/>
        </w:rPr>
        <w:t>2</w:t>
      </w:r>
      <w:proofErr w:type="spellEnd"/>
      <w:r>
        <w:rPr>
          <w:rFonts w:eastAsia="Times New Roman"/>
          <w:sz w:val="24"/>
          <w:szCs w:val="24"/>
          <w:highlight w:val="white"/>
          <w:shd w:val="clear" w:color="auto" w:fill="FEFEFE"/>
        </w:rPr>
        <w:t xml:space="preserve">. максималната измерена осемчасова средна стойност, 98-ият и 50-ият </w:t>
      </w:r>
      <w:proofErr w:type="spellStart"/>
      <w:r>
        <w:rPr>
          <w:rFonts w:eastAsia="Times New Roman"/>
          <w:sz w:val="24"/>
          <w:szCs w:val="24"/>
          <w:highlight w:val="white"/>
          <w:shd w:val="clear" w:color="auto" w:fill="FEFEFE"/>
        </w:rPr>
        <w:t>перцентил</w:t>
      </w:r>
      <w:proofErr w:type="spellEnd"/>
      <w:r>
        <w:rPr>
          <w:rFonts w:eastAsia="Times New Roman"/>
          <w:sz w:val="24"/>
          <w:szCs w:val="24"/>
          <w:highlight w:val="white"/>
          <w:shd w:val="clear" w:color="auto" w:fill="FEFEFE"/>
        </w:rPr>
        <w:t xml:space="preserve"> и средногодишната стойност от максималните осемчасови средни стойности в рамките на дадено денонощие.</w:t>
      </w:r>
    </w:p>
    <w:p w:rsidR="00E62D79" w:rsidRDefault="00E62D7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Данните, предоставяни в месечните доклади, са предварителни и следва да се актуализират, ако е необходимо, при следващо подаване на информация.</w:t>
      </w:r>
    </w:p>
    <w:p w:rsidR="00E62D79" w:rsidRDefault="00E62D79">
      <w:pPr>
        <w:ind w:firstLine="850"/>
        <w:jc w:val="both"/>
        <w:rPr>
          <w:rFonts w:eastAsia="Times New Roman"/>
          <w:sz w:val="24"/>
          <w:szCs w:val="24"/>
          <w:highlight w:val="white"/>
          <w:shd w:val="clear" w:color="auto" w:fill="FEFEFE"/>
        </w:rPr>
      </w:pPr>
      <w:proofErr w:type="spellStart"/>
      <w:r>
        <w:rPr>
          <w:rFonts w:eastAsia="Times New Roman"/>
          <w:sz w:val="24"/>
          <w:szCs w:val="24"/>
          <w:highlight w:val="white"/>
          <w:shd w:val="clear" w:color="auto" w:fill="FEFEFE"/>
        </w:rPr>
        <w:t>Перцентилите</w:t>
      </w:r>
      <w:proofErr w:type="spellEnd"/>
      <w:r>
        <w:rPr>
          <w:rFonts w:eastAsia="Times New Roman"/>
          <w:sz w:val="24"/>
          <w:szCs w:val="24"/>
          <w:highlight w:val="white"/>
          <w:shd w:val="clear" w:color="auto" w:fill="FEFEFE"/>
        </w:rPr>
        <w:t xml:space="preserve"> следва да се изчисляват по метода, определен в приложение № 4 на Наредба № 7 от 1999 г. за оценка и управление на качеството на атмосферния въздух.</w:t>
      </w:r>
    </w:p>
    <w:p w:rsidR="00E62D79" w:rsidRDefault="00E62D79">
      <w:pPr>
        <w:rPr>
          <w:rFonts w:eastAsia="Times New Roman"/>
          <w:sz w:val="24"/>
          <w:szCs w:val="24"/>
          <w:highlight w:val="white"/>
          <w:shd w:val="clear" w:color="auto" w:fill="FEFEFE"/>
        </w:rPr>
      </w:pPr>
    </w:p>
    <w:sectPr w:rsidR="00E62D79">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79"/>
    <w:rsid w:val="003E7B78"/>
    <w:rsid w:val="00BD2702"/>
    <w:rsid w:val="00E6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702"/>
    <w:rPr>
      <w:rFonts w:ascii="Tahoma" w:hAnsi="Tahoma" w:cs="Tahoma"/>
      <w:sz w:val="16"/>
      <w:szCs w:val="16"/>
    </w:rPr>
  </w:style>
  <w:style w:type="character" w:customStyle="1" w:styleId="BalloonTextChar">
    <w:name w:val="Balloon Text Char"/>
    <w:basedOn w:val="DefaultParagraphFont"/>
    <w:link w:val="BalloonText"/>
    <w:uiPriority w:val="99"/>
    <w:semiHidden/>
    <w:rsid w:val="00BD2702"/>
    <w:rPr>
      <w:rFonts w:ascii="Tahoma"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702"/>
    <w:rPr>
      <w:rFonts w:ascii="Tahoma" w:hAnsi="Tahoma" w:cs="Tahoma"/>
      <w:sz w:val="16"/>
      <w:szCs w:val="16"/>
    </w:rPr>
  </w:style>
  <w:style w:type="character" w:customStyle="1" w:styleId="BalloonTextChar">
    <w:name w:val="Balloon Text Char"/>
    <w:basedOn w:val="DefaultParagraphFont"/>
    <w:link w:val="BalloonText"/>
    <w:uiPriority w:val="99"/>
    <w:semiHidden/>
    <w:rsid w:val="00BD2702"/>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RKandilarova\AppData\Local\Ciela%20Norma%20AD\Ciela51\Cache\1b2a56d53f983cd50befee1ab4c29a736dd07e355a30c83a372e9a7ef5b57484_normi2135691821\5554187_DV2010_br058_str45_t17.gif" TargetMode="External"/><Relationship Id="rId5" Type="http://schemas.openxmlformats.org/officeDocument/2006/relationships/image" Target="file:///C:\Users\RKandilarova\AppData\Local\Ciela%20Norma%20AD\Ciela51\Cache\1b2a56d53f983cd50befee1ab4c29a736dd07e355a30c83a372e9a7ef5b57484_normi2135691821\71_26911889_dv2010_br058_str38.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16110</Words>
  <Characters>91832</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Radost Kandilarova</dc:creator>
  <cp:lastModifiedBy>Radost Kandilarova</cp:lastModifiedBy>
  <cp:revision>3</cp:revision>
  <dcterms:created xsi:type="dcterms:W3CDTF">2019-10-15T08:52:00Z</dcterms:created>
  <dcterms:modified xsi:type="dcterms:W3CDTF">2019-10-15T08:53:00Z</dcterms:modified>
</cp:coreProperties>
</file>